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00D3" w14:textId="2CCD55A7" w:rsidR="00236F51" w:rsidRPr="00FF732D" w:rsidRDefault="00E01E2F" w:rsidP="001D48BE">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t>the audiovisual production incentive</w:t>
      </w:r>
    </w:p>
    <w:p w14:paraId="118BAE7B" w14:textId="77777777" w:rsidR="00E01E2F" w:rsidRDefault="00E01E2F" w:rsidP="00E01E2F">
      <w:pPr>
        <w:pStyle w:val="Leipteksti"/>
        <w:spacing w:before="120" w:after="0"/>
        <w:jc w:val="both"/>
        <w:rPr>
          <w:rFonts w:ascii="Arial" w:hAnsi="Arial" w:cs="Arial"/>
          <w:b/>
          <w:i/>
          <w:sz w:val="20"/>
        </w:rPr>
      </w:pPr>
      <w:r>
        <w:rPr>
          <w:rFonts w:ascii="Arial" w:hAnsi="Arial"/>
          <w:b/>
          <w:i/>
          <w:sz w:val="20"/>
        </w:rPr>
        <w:t>[name of engaging company]</w:t>
      </w:r>
    </w:p>
    <w:p w14:paraId="334B22FC" w14:textId="5A0D2451" w:rsidR="00DB7027" w:rsidRDefault="00DB7027" w:rsidP="00DB7027">
      <w:pPr>
        <w:pStyle w:val="Leipteksti"/>
        <w:spacing w:before="0" w:after="120" w:line="240" w:lineRule="auto"/>
        <w:jc w:val="both"/>
        <w:rPr>
          <w:rFonts w:ascii="Arial" w:hAnsi="Arial" w:cs="Arial"/>
          <w:sz w:val="20"/>
        </w:rPr>
      </w:pPr>
    </w:p>
    <w:p w14:paraId="6DDD4104" w14:textId="77777777" w:rsidR="00E01E2F" w:rsidRDefault="00E01E2F" w:rsidP="00E01E2F">
      <w:pPr>
        <w:pStyle w:val="Leipteksti"/>
        <w:spacing w:before="120" w:after="0" w:line="240" w:lineRule="auto"/>
        <w:jc w:val="both"/>
        <w:rPr>
          <w:rFonts w:ascii="Arial" w:hAnsi="Arial" w:cs="Arial"/>
          <w:b/>
          <w:sz w:val="20"/>
        </w:rPr>
      </w:pPr>
      <w:r>
        <w:rPr>
          <w:rFonts w:ascii="Arial" w:hAnsi="Arial"/>
          <w:b/>
          <w:sz w:val="20"/>
        </w:rPr>
        <w:t>Purpose of the report and the restriction on its use and distribution</w:t>
      </w:r>
    </w:p>
    <w:p w14:paraId="5C143920" w14:textId="5FE5DDDE" w:rsidR="00E01E2F" w:rsidRDefault="00E01E2F" w:rsidP="00E01E2F">
      <w:pPr>
        <w:pStyle w:val="Leipteksti"/>
        <w:spacing w:line="240" w:lineRule="auto"/>
        <w:jc w:val="both"/>
        <w:rPr>
          <w:rFonts w:ascii="Arial" w:hAnsi="Arial" w:cs="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0EE07870" w14:textId="77777777" w:rsidR="00E01E2F" w:rsidRDefault="00E01E2F" w:rsidP="00E01E2F">
      <w:pPr>
        <w:pStyle w:val="Leipteksti"/>
        <w:spacing w:line="240" w:lineRule="auto"/>
        <w:jc w:val="both"/>
        <w:rPr>
          <w:rFonts w:ascii="Arial" w:hAnsi="Arial" w:cs="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5479252C" w14:textId="77777777" w:rsidR="00E01E2F" w:rsidRPr="002112DB" w:rsidRDefault="00E01E2F" w:rsidP="00E01E2F">
      <w:pPr>
        <w:pStyle w:val="Leipteksti"/>
        <w:spacing w:before="0" w:after="120" w:line="240" w:lineRule="auto"/>
        <w:jc w:val="both"/>
        <w:rPr>
          <w:rFonts w:ascii="Arial" w:hAnsi="Arial" w:cs="Arial"/>
          <w:spacing w:val="-2"/>
          <w:sz w:val="20"/>
        </w:rPr>
      </w:pPr>
      <w:r>
        <w:rPr>
          <w:rFonts w:ascii="Arial" w:hAnsi="Arial"/>
          <w:sz w:val="20"/>
        </w:rPr>
        <w:t>The report only concerns the mentioned cost statements, and it does not concern the financial statements of the Engaging Party as a whole.</w:t>
      </w:r>
    </w:p>
    <w:p w14:paraId="4693E393" w14:textId="77777777" w:rsidR="00E01E2F" w:rsidRDefault="00E01E2F" w:rsidP="00E01E2F">
      <w:pPr>
        <w:pStyle w:val="Leipteksti"/>
        <w:spacing w:line="240" w:lineRule="auto"/>
        <w:jc w:val="both"/>
        <w:rPr>
          <w:rFonts w:ascii="Arial" w:hAnsi="Arial" w:cs="Arial"/>
          <w:b/>
          <w:sz w:val="20"/>
        </w:rPr>
      </w:pPr>
      <w:r>
        <w:rPr>
          <w:rFonts w:ascii="Arial" w:hAnsi="Arial"/>
          <w:b/>
          <w:sz w:val="20"/>
        </w:rPr>
        <w:t>Obligations of the Engaging Party</w:t>
      </w:r>
    </w:p>
    <w:p w14:paraId="328E4908" w14:textId="77777777" w:rsidR="00E01E2F" w:rsidRDefault="00E01E2F" w:rsidP="00E01E2F">
      <w:pPr>
        <w:pStyle w:val="Leipteksti"/>
        <w:spacing w:line="240" w:lineRule="auto"/>
        <w:jc w:val="both"/>
        <w:rPr>
          <w:rFonts w:ascii="Arial" w:hAnsi="Arial" w:cs="Arial"/>
          <w:sz w:val="20"/>
        </w:rPr>
      </w:pPr>
      <w:r>
        <w:rPr>
          <w:rFonts w:ascii="Arial" w:hAnsi="Arial"/>
          <w:sz w:val="20"/>
        </w:rPr>
        <w:t>The Engaging Party and the Funder have confirmed that the agreed-upon procedures are appropriate for the purpose of the engagement.</w:t>
      </w:r>
    </w:p>
    <w:p w14:paraId="17948E74" w14:textId="1184CF5D" w:rsidR="00E01E2F" w:rsidRDefault="00E01E2F" w:rsidP="00E01E2F">
      <w:pPr>
        <w:pStyle w:val="Leipteksti"/>
        <w:spacing w:line="240" w:lineRule="auto"/>
        <w:jc w:val="both"/>
        <w:rPr>
          <w:rFonts w:ascii="Arial" w:hAnsi="Arial" w:cs="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3929A3C0" w14:textId="77777777" w:rsidR="00E01E2F" w:rsidRPr="00D72DF6" w:rsidRDefault="00E01E2F" w:rsidP="00E01E2F">
      <w:pPr>
        <w:pStyle w:val="Leipteksti"/>
        <w:spacing w:line="240" w:lineRule="auto"/>
        <w:jc w:val="both"/>
        <w:rPr>
          <w:rFonts w:ascii="Arial" w:hAnsi="Arial" w:cs="Arial"/>
          <w:b/>
          <w:sz w:val="20"/>
        </w:rPr>
      </w:pPr>
      <w:r>
        <w:rPr>
          <w:rFonts w:ascii="Arial" w:hAnsi="Arial"/>
          <w:b/>
          <w:sz w:val="20"/>
        </w:rPr>
        <w:t>Obligations of the practitioner</w:t>
      </w:r>
    </w:p>
    <w:p w14:paraId="0D7BCBA7" w14:textId="77777777" w:rsidR="00E01E2F" w:rsidRPr="002C2C8C" w:rsidRDefault="00E01E2F" w:rsidP="00E01E2F">
      <w:pPr>
        <w:pStyle w:val="Leipteksti"/>
        <w:spacing w:line="240" w:lineRule="auto"/>
        <w:jc w:val="both"/>
        <w:rPr>
          <w:rFonts w:ascii="Arial" w:hAnsi="Arial" w:cs="Arial"/>
          <w:sz w:val="20"/>
        </w:rPr>
      </w:pPr>
      <w:r>
        <w:rPr>
          <w:rFonts w:ascii="Arial" w:hAnsi="Arial"/>
          <w:sz w:val="20"/>
        </w:rPr>
        <w:t xml:space="preserve">We have carried out the engagement concerning agreed-upon procedures in accordance with the International Standard on Related Services ISRS 4400 (revised) </w:t>
      </w:r>
      <w:r>
        <w:rPr>
          <w:rFonts w:ascii="Arial" w:hAnsi="Arial"/>
          <w:i/>
          <w:iCs/>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61408368" w14:textId="2E6FC928" w:rsidR="00E01E2F" w:rsidRPr="004919FF" w:rsidRDefault="00E01E2F" w:rsidP="00E01E2F">
      <w:pPr>
        <w:pStyle w:val="Leipteksti"/>
        <w:spacing w:line="240" w:lineRule="auto"/>
        <w:jc w:val="both"/>
        <w:rPr>
          <w:rFonts w:ascii="Arial" w:hAnsi="Arial" w:cs="Arial"/>
          <w:strike/>
          <w:sz w:val="20"/>
        </w:rPr>
      </w:pPr>
      <w:r>
        <w:rPr>
          <w:rFonts w:ascii="Arial" w:hAnsi="Arial"/>
          <w:sz w:val="20"/>
        </w:rPr>
        <w:t>We are not qualified to assess whether the costs are expenditures arising from production.</w:t>
      </w:r>
    </w:p>
    <w:p w14:paraId="02FE2066" w14:textId="77777777" w:rsidR="00E01E2F" w:rsidRDefault="00E01E2F" w:rsidP="00E01E2F">
      <w:pPr>
        <w:pStyle w:val="Leipteksti"/>
        <w:spacing w:line="240" w:lineRule="auto"/>
        <w:jc w:val="both"/>
        <w:rPr>
          <w:rFonts w:ascii="Arial" w:hAnsi="Arial" w:cs="Arial"/>
          <w:sz w:val="20"/>
        </w:rPr>
      </w:pPr>
      <w:r>
        <w:rPr>
          <w:rFonts w:ascii="Arial" w:hAnsi="Arial"/>
          <w:sz w:val="20"/>
        </w:rPr>
        <w:t xml:space="preserve">This engagement is not an assurance engagement. Consequently, we do not express an opinion or assurance conclusions. </w:t>
      </w:r>
    </w:p>
    <w:p w14:paraId="6A2DA6F1" w14:textId="77777777" w:rsidR="00E01E2F" w:rsidRDefault="00E01E2F" w:rsidP="00E01E2F">
      <w:pPr>
        <w:pStyle w:val="Leipteksti"/>
        <w:spacing w:line="240" w:lineRule="auto"/>
        <w:jc w:val="both"/>
        <w:rPr>
          <w:rFonts w:ascii="Arial" w:hAnsi="Arial" w:cs="Arial"/>
          <w:sz w:val="20"/>
        </w:rPr>
      </w:pPr>
      <w:r>
        <w:rPr>
          <w:rFonts w:ascii="Arial" w:hAnsi="Arial"/>
          <w:sz w:val="20"/>
        </w:rPr>
        <w:t xml:space="preserve">If we had performed further procedures, other issues may have come to our attention that would have been reported. </w:t>
      </w:r>
    </w:p>
    <w:p w14:paraId="746A6D1A" w14:textId="77777777" w:rsidR="00E01E2F" w:rsidRDefault="00E01E2F" w:rsidP="00E01E2F">
      <w:pPr>
        <w:pStyle w:val="Leipteksti"/>
        <w:spacing w:line="240" w:lineRule="auto"/>
        <w:jc w:val="both"/>
        <w:rPr>
          <w:rFonts w:ascii="Arial" w:hAnsi="Arial" w:cs="Arial"/>
          <w:i/>
          <w:sz w:val="20"/>
        </w:rPr>
      </w:pPr>
      <w:r>
        <w:rPr>
          <w:rFonts w:ascii="Arial" w:hAnsi="Arial"/>
          <w:i/>
          <w:sz w:val="20"/>
        </w:rPr>
        <w:t>Professional ethics and quality control</w:t>
      </w:r>
    </w:p>
    <w:p w14:paraId="31E87176" w14:textId="77777777" w:rsidR="00E01E2F" w:rsidRPr="00D72DF6" w:rsidRDefault="00E01E2F" w:rsidP="00E01E2F">
      <w:pPr>
        <w:pStyle w:val="Leipteksti"/>
        <w:spacing w:line="240" w:lineRule="auto"/>
        <w:jc w:val="both"/>
        <w:rPr>
          <w:rFonts w:ascii="Arial" w:hAnsi="Arial" w:cs="Arial"/>
          <w:sz w:val="20"/>
        </w:rPr>
      </w:pPr>
      <w:r>
        <w:rPr>
          <w:rFonts w:ascii="Arial" w:hAnsi="Arial"/>
          <w:sz w:val="20"/>
        </w:rPr>
        <w:t xml:space="preserve">We have followed the </w:t>
      </w:r>
      <w:r>
        <w:rPr>
          <w:rFonts w:ascii="Arial" w:hAnsi="Arial"/>
          <w:i/>
          <w:iCs/>
          <w:sz w:val="20"/>
        </w:rPr>
        <w:t xml:space="preserve">International Code of Ethics for Professional Accountants (including International Independence Standards) </w:t>
      </w:r>
      <w:r>
        <w:rPr>
          <w:rFonts w:ascii="Arial" w:hAnsi="Arial"/>
          <w:sz w:val="20"/>
        </w:rPr>
        <w:t>(the IESBA Code of Ethics) of the IESBA and the independence requirements of Part 4A of the IESBA Code of Ethics.</w:t>
      </w:r>
    </w:p>
    <w:p w14:paraId="3D558ED0" w14:textId="77777777" w:rsidR="00E01E2F" w:rsidRDefault="00E01E2F" w:rsidP="00E01E2F">
      <w:pPr>
        <w:pStyle w:val="Leipteksti"/>
        <w:spacing w:line="240" w:lineRule="auto"/>
        <w:jc w:val="both"/>
        <w:rPr>
          <w:rFonts w:ascii="Arial" w:hAnsi="Arial" w:cs="Arial"/>
          <w:sz w:val="20"/>
        </w:rPr>
      </w:pPr>
      <w:r>
        <w:rPr>
          <w:rFonts w:ascii="Arial" w:hAnsi="Arial"/>
          <w:sz w:val="20"/>
        </w:rPr>
        <w:t>Our audit firm applies the International Standard for Quality Control (ISQC)</w:t>
      </w:r>
      <w:r>
        <w:rPr>
          <w:rFonts w:ascii="Arial" w:hAnsi="Arial"/>
          <w:i/>
          <w:sz w:val="20"/>
        </w:rPr>
        <w:t xml:space="preserve"> </w:t>
      </w:r>
      <w:r>
        <w:rPr>
          <w:rFonts w:ascii="Arial" w:hAnsi="Arial"/>
          <w:sz w:val="20"/>
        </w:rPr>
        <w:t>1</w:t>
      </w:r>
      <w:r>
        <w:rPr>
          <w:rFonts w:ascii="Arial" w:hAnsi="Arial"/>
          <w:i/>
          <w:sz w:val="20"/>
        </w:rPr>
        <w:t xml:space="preserve"> Quality control for firms that perform audits and reviews of financial statements, and other assurance and related services engagements</w:t>
      </w:r>
      <w:r>
        <w:rPr>
          <w:rFonts w:ascii="Arial" w:hAnsi="Arial"/>
          <w:sz w:val="20"/>
        </w:rPr>
        <w:t xml:space="preserve"> and therefore maintains a comprehensive quality control system, including documented policies and procedures for compliance with ethical requirements, professional standards, and applicable legal and regulatory requirements. </w:t>
      </w:r>
    </w:p>
    <w:p w14:paraId="16549E54" w14:textId="77777777" w:rsidR="00E01E2F" w:rsidRDefault="00E01E2F" w:rsidP="00E01E2F">
      <w:pPr>
        <w:pStyle w:val="Leipteksti"/>
        <w:spacing w:line="240" w:lineRule="auto"/>
        <w:jc w:val="both"/>
        <w:rPr>
          <w:rFonts w:ascii="Arial" w:hAnsi="Arial" w:cs="Arial"/>
          <w:sz w:val="20"/>
        </w:rPr>
      </w:pPr>
      <w:r>
        <w:rPr>
          <w:rFonts w:ascii="Arial" w:hAnsi="Arial"/>
          <w:b/>
          <w:sz w:val="20"/>
        </w:rPr>
        <w:t>Procedures and findings</w:t>
      </w:r>
    </w:p>
    <w:p w14:paraId="474AAB0C" w14:textId="110E2C77" w:rsidR="00E01E2F" w:rsidRDefault="00E01E2F" w:rsidP="00E01E2F">
      <w:pPr>
        <w:pStyle w:val="Leipteksti"/>
        <w:spacing w:before="0" w:after="120" w:line="240" w:lineRule="auto"/>
        <w:jc w:val="both"/>
        <w:rPr>
          <w:rFonts w:ascii="Arial" w:hAnsi="Arial" w:cs="Arial"/>
          <w:sz w:val="20"/>
        </w:r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granted by the Funder to the Engaging Party and the cost statements submitted 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p>
    <w:p w14:paraId="2FDA5996" w14:textId="77777777" w:rsidR="009A7CB0" w:rsidRPr="00D87B82" w:rsidRDefault="009A7CB0" w:rsidP="009A7CB0">
      <w:pPr>
        <w:pStyle w:val="Leipteksti"/>
        <w:spacing w:before="0" w:after="120" w:line="240" w:lineRule="auto"/>
        <w:jc w:val="both"/>
        <w:rPr>
          <w:rFonts w:ascii="Arial" w:hAnsi="Arial" w:cs="Arial"/>
          <w:sz w:val="20"/>
        </w:rPr>
      </w:pPr>
      <w:r>
        <w:rPr>
          <w:rFonts w:ascii="Arial" w:hAnsi="Arial"/>
          <w:sz w:val="20"/>
        </w:rPr>
        <w:lastRenderedPageBreak/>
        <w:t xml:space="preserve">When the beneficiary is a foreign company and it has </w:t>
      </w:r>
      <w:proofErr w:type="gramStart"/>
      <w:r>
        <w:rPr>
          <w:rFonts w:ascii="Arial" w:hAnsi="Arial"/>
          <w:sz w:val="20"/>
        </w:rPr>
        <w:t>entered into</w:t>
      </w:r>
      <w:proofErr w:type="gramEnd"/>
      <w:r>
        <w:rPr>
          <w:rFonts w:ascii="Arial" w:hAnsi="Arial"/>
          <w:sz w:val="20"/>
        </w:rPr>
        <w:t xml:space="preserve"> a service provision contract with a production coordinator company, the agreed-upon procedures are allocated to the project accounts of the production coordinator [name, business ID]. The audit has examined the costs paid by the production coordinator and the beneficiary’s payments to the coordinator.</w:t>
      </w:r>
    </w:p>
    <w:tbl>
      <w:tblPr>
        <w:tblStyle w:val="Yksinkertainentaulukko1"/>
        <w:tblW w:w="10343" w:type="dxa"/>
        <w:tblLook w:val="04A0" w:firstRow="1" w:lastRow="0" w:firstColumn="1" w:lastColumn="0" w:noHBand="0" w:noVBand="1"/>
      </w:tblPr>
      <w:tblGrid>
        <w:gridCol w:w="6346"/>
        <w:gridCol w:w="3997"/>
      </w:tblGrid>
      <w:tr w:rsidR="009A7CB0" w:rsidRPr="00AA0CED" w14:paraId="6ED7406E" w14:textId="77777777" w:rsidTr="00EC7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178D533C" w14:textId="77777777" w:rsidR="009A7CB0" w:rsidRPr="00AA0CED" w:rsidRDefault="009A7CB0" w:rsidP="009A7CB0">
            <w:pPr>
              <w:pStyle w:val="Leipteksti"/>
              <w:spacing w:line="240" w:lineRule="auto"/>
              <w:rPr>
                <w:rFonts w:ascii="Arial" w:hAnsi="Arial" w:cs="Arial"/>
                <w:color w:val="FFFFFF" w:themeColor="background1"/>
                <w:sz w:val="24"/>
                <w:szCs w:val="24"/>
              </w:rPr>
            </w:pPr>
            <w:bookmarkStart w:id="1" w:name="_Hlk93386792"/>
            <w:r>
              <w:rPr>
                <w:rFonts w:ascii="Arial" w:hAnsi="Arial"/>
                <w:color w:val="FFFFFF" w:themeColor="background1"/>
                <w:sz w:val="24"/>
                <w:szCs w:val="24"/>
              </w:rPr>
              <w:t>Actions</w:t>
            </w:r>
          </w:p>
        </w:tc>
        <w:tc>
          <w:tcPr>
            <w:tcW w:w="3997" w:type="dxa"/>
            <w:shd w:val="clear" w:color="auto" w:fill="1F497D" w:themeFill="text2"/>
          </w:tcPr>
          <w:p w14:paraId="23BEEEAE" w14:textId="77777777" w:rsidR="009A7CB0" w:rsidRPr="00AA0CED" w:rsidRDefault="009A7CB0" w:rsidP="009A7CB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9A7CB0" w:rsidRPr="00AA0CED" w14:paraId="05B1D199"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FB724" w14:textId="77777777" w:rsidR="009A7CB0" w:rsidRPr="00AA0CED" w:rsidRDefault="009A7CB0" w:rsidP="009A7CB0">
            <w:pPr>
              <w:pStyle w:val="Leipteksti"/>
              <w:spacing w:line="240" w:lineRule="auto"/>
              <w:jc w:val="both"/>
              <w:rPr>
                <w:rFonts w:ascii="Arial" w:hAnsi="Arial" w:cs="Arial"/>
                <w:sz w:val="20"/>
              </w:rPr>
            </w:pPr>
            <w:r>
              <w:rPr>
                <w:rFonts w:ascii="Arial" w:hAnsi="Arial"/>
                <w:color w:val="FFFFFF" w:themeColor="background1"/>
                <w:sz w:val="20"/>
              </w:rPr>
              <w:t>1. Project accounting</w:t>
            </w:r>
          </w:p>
        </w:tc>
      </w:tr>
      <w:tr w:rsidR="009A7CB0" w:rsidRPr="00AA0CED" w14:paraId="69F15100"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11C2952E" w14:textId="77777777" w:rsidR="009A7CB0" w:rsidRPr="00AA0CED" w:rsidRDefault="009A7CB0" w:rsidP="009A7CB0">
            <w:pPr>
              <w:pStyle w:val="Leipteksti"/>
              <w:spacing w:line="240" w:lineRule="auto"/>
              <w:rPr>
                <w:rFonts w:ascii="Arial" w:hAnsi="Arial" w:cs="Arial"/>
                <w:b w:val="0"/>
                <w:bCs w:val="0"/>
                <w:sz w:val="20"/>
              </w:rPr>
            </w:pPr>
            <w:r>
              <w:rPr>
                <w:rFonts w:ascii="Arial" w:hAnsi="Arial"/>
                <w:b w:val="0"/>
                <w:bCs w:val="0"/>
                <w:sz w:val="20"/>
              </w:rPr>
              <w:t xml:space="preserve">We were given access to a description of the beneficiary’s project accounting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70E1BAD5"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1EC97544"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Pr>
                <w:rFonts w:ascii="Arial" w:hAnsi="Arial"/>
                <w:b w:val="0"/>
                <w:bCs w:val="0"/>
                <w:sz w:val="20"/>
              </w:rPr>
              <w:t>the integrity of the traceability chain and</w:t>
            </w:r>
          </w:p>
          <w:p w14:paraId="31A47D28" w14:textId="77777777" w:rsidR="009A7CB0" w:rsidRPr="00AA0CED" w:rsidRDefault="009A7CB0" w:rsidP="009A7CB0">
            <w:pPr>
              <w:pStyle w:val="Merkittyluettelo"/>
              <w:numPr>
                <w:ilvl w:val="1"/>
                <w:numId w:val="36"/>
              </w:numPr>
              <w:spacing w:after="0" w:line="240" w:lineRule="auto"/>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3997" w:type="dxa"/>
          </w:tcPr>
          <w:p w14:paraId="0E623E00" w14:textId="77777777" w:rsidR="009A7CB0" w:rsidRPr="00AA0CED" w:rsidRDefault="009A7CB0"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cost statement can be verified). </w:t>
            </w:r>
          </w:p>
        </w:tc>
      </w:tr>
      <w:tr w:rsidR="009A7CB0" w:rsidRPr="00AA0CED" w14:paraId="220DA155"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9BD6662" w14:textId="77777777" w:rsidR="009A7CB0" w:rsidRPr="00AA0CED" w:rsidRDefault="009A7CB0" w:rsidP="009A7CB0">
            <w:pPr>
              <w:pStyle w:val="Leipteksti"/>
              <w:spacing w:line="240" w:lineRule="auto"/>
              <w:rPr>
                <w:rFonts w:ascii="Arial" w:hAnsi="Arial" w:cs="Arial"/>
                <w:sz w:val="20"/>
              </w:rPr>
            </w:pPr>
            <w:r>
              <w:rPr>
                <w:rFonts w:ascii="Arial" w:hAnsi="Arial"/>
                <w:color w:val="FFFFFF" w:themeColor="background1"/>
                <w:sz w:val="20"/>
              </w:rPr>
              <w:t>2. Working time monitoring</w:t>
            </w:r>
          </w:p>
        </w:tc>
      </w:tr>
      <w:tr w:rsidR="009A7CB0" w:rsidRPr="00AA0CED" w14:paraId="62FF79E4"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7FF30AA6" w14:textId="5541CF40" w:rsidR="009A7CB0" w:rsidRPr="00AA0CED" w:rsidRDefault="003E6992" w:rsidP="009A7CB0">
            <w:pPr>
              <w:pStyle w:val="Leipteksti"/>
              <w:spacing w:line="240" w:lineRule="auto"/>
              <w:rPr>
                <w:rFonts w:ascii="Arial" w:hAnsi="Arial" w:cs="Arial"/>
                <w:b w:val="0"/>
                <w:bCs w:val="0"/>
                <w:sz w:val="20"/>
              </w:rPr>
            </w:pPr>
            <w:r>
              <w:rPr>
                <w:rFonts w:ascii="Arial" w:hAnsi="Arial"/>
                <w:b w:val="0"/>
                <w:bCs w:val="0"/>
                <w:sz w:val="20"/>
              </w:rPr>
              <w:t xml:space="preserve">If the Engaging Party simultaneously has a project underway funded by the Funder whose funding terms and conditions require working time monitoring, all those employees who are also working on the project requiring working time monitoring must keep records on their working time on an hourly basis. We were given access to a description of the Engaging Party’s working time monitoring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9EC7B2A" w14:textId="77777777" w:rsidR="009A7CB0" w:rsidRPr="00EE5DC5" w:rsidRDefault="009A7CB0" w:rsidP="009A7CB0">
            <w:pPr>
              <w:pStyle w:val="Merkittyluettelo"/>
              <w:numPr>
                <w:ilvl w:val="1"/>
                <w:numId w:val="38"/>
              </w:numPr>
              <w:spacing w:after="0" w:line="240" w:lineRule="auto"/>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703DD3A5" w14:textId="593D34DC" w:rsidR="009A7CB0" w:rsidRPr="00EE5DC5" w:rsidRDefault="009A7CB0" w:rsidP="009A7CB0">
            <w:pPr>
              <w:pStyle w:val="Merkittyluettelo"/>
              <w:numPr>
                <w:ilvl w:val="1"/>
                <w:numId w:val="38"/>
              </w:numPr>
              <w:spacing w:after="0" w:line="240" w:lineRule="auto"/>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1C21B3F7" w14:textId="5401CE9D" w:rsidR="002E7C59" w:rsidRPr="00EE5DC5" w:rsidRDefault="002E7C59" w:rsidP="009A7CB0">
            <w:pPr>
              <w:pStyle w:val="Merkittyluettelo"/>
              <w:numPr>
                <w:ilvl w:val="1"/>
                <w:numId w:val="38"/>
              </w:numPr>
              <w:spacing w:after="0" w:line="240" w:lineRule="auto"/>
              <w:ind w:left="589"/>
              <w:rPr>
                <w:rFonts w:ascii="Arial" w:hAnsi="Arial" w:cs="Arial"/>
                <w:b w:val="0"/>
                <w:bCs w:val="0"/>
                <w:sz w:val="20"/>
              </w:rPr>
            </w:pPr>
            <w:r>
              <w:rPr>
                <w:rFonts w:ascii="Arial" w:hAnsi="Arial"/>
                <w:b w:val="0"/>
                <w:bCs w:val="0"/>
                <w:sz w:val="20"/>
              </w:rPr>
              <w:t>whether the employees who have worked for the project (e.g., management and responsible persons) have their working time defined in their employment contract or collective agreement or whether they must keep records of their total working time in accordance with the funding terms and conditions.</w:t>
            </w:r>
          </w:p>
          <w:p w14:paraId="4E9D91C6" w14:textId="77777777" w:rsidR="003E6992" w:rsidRDefault="003E6992" w:rsidP="003E6992">
            <w:pPr>
              <w:pStyle w:val="Merkittyluettelo"/>
              <w:numPr>
                <w:ilvl w:val="0"/>
                <w:numId w:val="0"/>
              </w:numPr>
              <w:spacing w:after="0" w:line="240" w:lineRule="auto"/>
              <w:ind w:left="360" w:hanging="360"/>
              <w:rPr>
                <w:rFonts w:ascii="Arial" w:hAnsi="Arial" w:cs="Arial"/>
                <w:strike/>
                <w:sz w:val="20"/>
              </w:rPr>
            </w:pPr>
          </w:p>
          <w:p w14:paraId="0EED5588" w14:textId="65DB9410" w:rsidR="003E6992" w:rsidRPr="003E6992" w:rsidRDefault="003E6992" w:rsidP="003E6992">
            <w:pPr>
              <w:pStyle w:val="Merkittyluettelo"/>
              <w:numPr>
                <w:ilvl w:val="0"/>
                <w:numId w:val="0"/>
              </w:numPr>
              <w:spacing w:after="0" w:line="240" w:lineRule="auto"/>
              <w:ind w:left="360" w:hanging="360"/>
              <w:rPr>
                <w:rFonts w:ascii="Arial" w:hAnsi="Arial" w:cs="Arial"/>
                <w:b w:val="0"/>
                <w:bCs w:val="0"/>
                <w:sz w:val="20"/>
              </w:rPr>
            </w:pPr>
          </w:p>
        </w:tc>
        <w:tc>
          <w:tcPr>
            <w:tcW w:w="3997" w:type="dxa"/>
          </w:tcPr>
          <w:p w14:paraId="22D8CD11" w14:textId="77777777" w:rsidR="009A7CB0" w:rsidRPr="00EE5DC5" w:rsidRDefault="009A7CB0"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w:t>
            </w:r>
            <w:proofErr w:type="gramStart"/>
            <w:r>
              <w:rPr>
                <w:rFonts w:ascii="Arial" w:hAnsi="Arial"/>
                <w:sz w:val="20"/>
              </w:rPr>
              <w:t>on the basis of</w:t>
            </w:r>
            <w:proofErr w:type="gramEnd"/>
            <w:r>
              <w:rPr>
                <w:rFonts w:ascii="Arial" w:hAnsi="Arial"/>
                <w:sz w:val="20"/>
              </w:rPr>
              <w:t xml:space="preserve">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3DE706DF" w14:textId="723FC490" w:rsidR="002E7C59" w:rsidRPr="00B95A56" w:rsidRDefault="002E7C59"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on their total working time in accordance with the funding terms and conditions.</w:t>
            </w:r>
          </w:p>
        </w:tc>
      </w:tr>
      <w:tr w:rsidR="009A7CB0" w:rsidRPr="00AA0CED" w14:paraId="18B18DC3"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DF41AB5" w14:textId="77777777" w:rsidR="009A7CB0" w:rsidRPr="00AA0CED" w:rsidRDefault="009A7CB0" w:rsidP="009A7CB0">
            <w:pPr>
              <w:pStyle w:val="Leipteksti"/>
              <w:spacing w:line="240" w:lineRule="auto"/>
              <w:rPr>
                <w:rFonts w:ascii="Arial" w:hAnsi="Arial" w:cs="Arial"/>
                <w:sz w:val="20"/>
              </w:rPr>
            </w:pPr>
            <w:r>
              <w:rPr>
                <w:rFonts w:ascii="Arial" w:hAnsi="Arial"/>
                <w:color w:val="FFFFFF" w:themeColor="background1"/>
                <w:sz w:val="20"/>
              </w:rPr>
              <w:t>3. Salaries</w:t>
            </w:r>
          </w:p>
        </w:tc>
      </w:tr>
      <w:tr w:rsidR="009A7CB0" w:rsidRPr="00AA0CED" w14:paraId="00F73C94"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6E983CFE" w14:textId="189561D8" w:rsidR="009A7CB0" w:rsidRPr="00AA0CED" w:rsidRDefault="009A7CB0" w:rsidP="009A7CB0">
            <w:pPr>
              <w:pStyle w:val="Leipteksti"/>
              <w:spacing w:line="240" w:lineRule="auto"/>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information in the cost statement, the following procedures were carried out.  The procedures covered 60% of the salaries reported for the project and 15% of the payment of salaries reported for the project.</w:t>
            </w:r>
          </w:p>
          <w:p w14:paraId="0A305C13" w14:textId="6C071DE4" w:rsidR="009A7CB0"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 xml:space="preserve">If the funding terms and conditions of the project require working time monitoring, we compared the number of hours reported in the section “Project hours during the reporting period” of the salary specification to the hours reported in the project’s working time monitoring. </w:t>
            </w:r>
          </w:p>
          <w:p w14:paraId="595AEC05" w14:textId="101D5595" w:rsidR="00342B0D"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 xml:space="preserve">If the terms and conditions for funding require the monitoring of the total working hours of a specific employee, we </w:t>
            </w:r>
            <w:r>
              <w:rPr>
                <w:rFonts w:ascii="Arial" w:hAnsi="Arial"/>
                <w:b w:val="0"/>
                <w:bCs w:val="0"/>
                <w:sz w:val="20"/>
              </w:rPr>
              <w:lastRenderedPageBreak/>
              <w:t>compared the number of hours reported in the section “Total working hours in the reporting period” of the salary specification included in the cost statement to the employee’s total monitored working hours.</w:t>
            </w:r>
            <w:r>
              <w:rPr>
                <w:rFonts w:ascii="Arial" w:hAnsi="Arial"/>
                <w:sz w:val="20"/>
              </w:rPr>
              <w:t xml:space="preserve"> </w:t>
            </w:r>
          </w:p>
          <w:p w14:paraId="7BF7B6CC" w14:textId="77777777" w:rsidR="00342B0D" w:rsidRPr="00342B0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We compared the amount reported in the cost statement to the beneficiary’s payroll accounting and verified that 15% of the total salaries had been paid.</w:t>
            </w:r>
          </w:p>
          <w:p w14:paraId="7C48FDFF" w14:textId="6F9408AF" w:rsidR="009A7CB0" w:rsidRPr="00AA0CED" w:rsidRDefault="00342B0D" w:rsidP="00342B0D">
            <w:pPr>
              <w:pStyle w:val="Leipteksti"/>
              <w:numPr>
                <w:ilvl w:val="0"/>
                <w:numId w:val="37"/>
              </w:numPr>
              <w:spacing w:before="0" w:after="0" w:line="240" w:lineRule="auto"/>
              <w:rPr>
                <w:rFonts w:ascii="Arial" w:hAnsi="Arial" w:cs="Arial"/>
                <w:b w:val="0"/>
                <w:bCs w:val="0"/>
                <w:sz w:val="20"/>
              </w:rPr>
            </w:pPr>
            <w:r>
              <w:rPr>
                <w:rFonts w:ascii="Arial" w:hAnsi="Arial"/>
                <w:b w:val="0"/>
                <w:bCs w:val="0"/>
                <w:sz w:val="20"/>
              </w:rPr>
              <w:t>We examined whether salaries were paid to employees liable to pay taxes in Finland who had a valid tax card or tax-at-source card.</w:t>
            </w:r>
          </w:p>
        </w:tc>
        <w:tc>
          <w:tcPr>
            <w:tcW w:w="3997" w:type="dxa"/>
          </w:tcPr>
          <w:p w14:paraId="17450937" w14:textId="11DC1019" w:rsidR="009A7CB0" w:rsidRPr="00AA0CED" w:rsidRDefault="00176E2F"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Regarding point 3, we verified that the reviewed data on the salaries in the cost statement corresponded to those in the payroll accounting and that the reviewed total amounts of salary had been paid. In addition, we concluded that the salaries had been paid to employees who were liable to taxation in Finland. If the funding terms and conditions of the project require working time monitoring, we verified that the number of hours given in section </w:t>
            </w:r>
            <w:r>
              <w:rPr>
                <w:rFonts w:ascii="Arial" w:hAnsi="Arial"/>
                <w:sz w:val="20"/>
              </w:rPr>
              <w:lastRenderedPageBreak/>
              <w:t xml:space="preserve">“Project hours during the reporting period” of the payroll specification corresponds to the project’s working time monitoring. If the terms and conditions for funding require the monitoring of the total working hours of a specific employee, we verified that the number of hours given in the section “Total working hours in the reporting period” corresponds to the employee’s total monitored working hours. </w:t>
            </w:r>
          </w:p>
          <w:p w14:paraId="4E7F33E8" w14:textId="0B8E84CF" w:rsidR="009A7CB0" w:rsidRPr="00176E2F" w:rsidRDefault="009A7CB0" w:rsidP="009A7CB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r>
      <w:tr w:rsidR="009A7CB0" w:rsidRPr="00AA0CED" w14:paraId="2F810CFE"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7DB9F75" w14:textId="48122BE3" w:rsidR="009A7CB0" w:rsidRPr="00AA0CED" w:rsidRDefault="009A7CB0" w:rsidP="00A56B0E">
            <w:pPr>
              <w:pStyle w:val="Leipteksti"/>
              <w:spacing w:line="240" w:lineRule="auto"/>
              <w:rPr>
                <w:rFonts w:ascii="Arial" w:hAnsi="Arial" w:cs="Arial"/>
                <w:color w:val="FFFFFF" w:themeColor="background1"/>
                <w:sz w:val="20"/>
              </w:rPr>
            </w:pPr>
            <w:r>
              <w:lastRenderedPageBreak/>
              <w:br w:type="page"/>
            </w:r>
            <w:r>
              <w:rPr>
                <w:rFonts w:ascii="Arial" w:hAnsi="Arial"/>
                <w:color w:val="FFFFFF" w:themeColor="background1"/>
                <w:sz w:val="20"/>
              </w:rPr>
              <w:t>4. Purchased services</w:t>
            </w:r>
          </w:p>
        </w:tc>
      </w:tr>
      <w:tr w:rsidR="009A7CB0" w:rsidRPr="00AA0CED" w14:paraId="20ADEEF7"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04DC482D" w14:textId="07ED2A4B" w:rsidR="009A7CB0" w:rsidRPr="00AA0CED" w:rsidRDefault="009A7CB0" w:rsidP="00A56B0E">
            <w:pPr>
              <w:pStyle w:val="Leipteksti"/>
              <w:spacing w:line="240" w:lineRule="auto"/>
              <w:rPr>
                <w:rFonts w:ascii="Arial" w:hAnsi="Arial" w:cs="Arial"/>
                <w:b w:val="0"/>
                <w:bCs w:val="0"/>
                <w:sz w:val="20"/>
              </w:rPr>
            </w:pPr>
            <w:r>
              <w:rPr>
                <w:rFonts w:ascii="Arial" w:hAnsi="Arial"/>
                <w:b w:val="0"/>
                <w:bCs w:val="0"/>
                <w:sz w:val="20"/>
              </w:rPr>
              <w:t xml:space="preserve">We were given access to a cost category specification of the costs reported in the cost statement, and we carried out the procedures mentioned below. The procedures covered 60% of the costs allocated to the project and 15% of the payment of costs reported for the project. </w:t>
            </w:r>
            <w:proofErr w:type="gramStart"/>
            <w:r>
              <w:rPr>
                <w:rFonts w:ascii="Arial" w:hAnsi="Arial"/>
                <w:b w:val="0"/>
                <w:bCs w:val="0"/>
                <w:sz w:val="20"/>
              </w:rPr>
              <w:t>With regard to</w:t>
            </w:r>
            <w:proofErr w:type="gramEnd"/>
            <w:r>
              <w:rPr>
                <w:rFonts w:ascii="Arial" w:hAnsi="Arial"/>
                <w:b w:val="0"/>
                <w:bCs w:val="0"/>
                <w:sz w:val="20"/>
              </w:rPr>
              <w:t xml:space="preserve"> the selected costs, we assessed</w:t>
            </w:r>
          </w:p>
          <w:p w14:paraId="11C9A4A7"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 xml:space="preserve">whether they are based on project accounting and the Engaging Party’s accounting  </w:t>
            </w:r>
          </w:p>
          <w:p w14:paraId="7FBE62A2"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45DADFBE" w14:textId="24FF68E2"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whether they are accrual-based and arisen in Finland during the project</w:t>
            </w:r>
          </w:p>
          <w:p w14:paraId="78C65A0E" w14:textId="77777777" w:rsidR="009A7CB0" w:rsidRPr="00AA0CED" w:rsidRDefault="009A7CB0"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whether the expenditure that the reported costs are based on are VAT-exempt</w:t>
            </w:r>
          </w:p>
          <w:p w14:paraId="4027D636" w14:textId="77777777" w:rsidR="00A56B0E" w:rsidRPr="00A56B0E" w:rsidRDefault="009A7CB0" w:rsidP="00A56B0E">
            <w:pPr>
              <w:pStyle w:val="Merkittyluettelo"/>
              <w:numPr>
                <w:ilvl w:val="1"/>
                <w:numId w:val="39"/>
              </w:numPr>
              <w:spacing w:after="0" w:line="240" w:lineRule="auto"/>
              <w:ind w:left="589"/>
              <w:rPr>
                <w:b w:val="0"/>
                <w:bCs w:val="0"/>
              </w:rPr>
            </w:pPr>
            <w:r>
              <w:rPr>
                <w:rFonts w:ascii="Arial" w:hAnsi="Arial"/>
                <w:b w:val="0"/>
                <w:bCs w:val="0"/>
                <w:sz w:val="20"/>
              </w:rPr>
              <w:t>whether they have been presented according to cost category</w:t>
            </w:r>
          </w:p>
          <w:p w14:paraId="17F9FAC2" w14:textId="33B1F573" w:rsidR="00A56B0E" w:rsidRPr="00A56B0E" w:rsidRDefault="00A56B0E" w:rsidP="00A56B0E">
            <w:pPr>
              <w:pStyle w:val="Merkittyluettelo"/>
              <w:numPr>
                <w:ilvl w:val="1"/>
                <w:numId w:val="39"/>
              </w:numPr>
              <w:spacing w:after="0" w:line="240" w:lineRule="auto"/>
              <w:ind w:left="589"/>
              <w:rPr>
                <w:rFonts w:ascii="Arial" w:hAnsi="Arial" w:cs="Arial"/>
                <w:b w:val="0"/>
                <w:bCs w:val="0"/>
                <w:sz w:val="20"/>
              </w:rPr>
            </w:pPr>
            <w:r>
              <w:rPr>
                <w:rFonts w:ascii="Arial" w:hAnsi="Arial"/>
                <w:b w:val="0"/>
                <w:bCs w:val="0"/>
                <w:sz w:val="20"/>
              </w:rPr>
              <w:t>whether the services purchased are based on invoices</w:t>
            </w:r>
          </w:p>
          <w:p w14:paraId="11E7FC26" w14:textId="77777777" w:rsidR="00A56B0E" w:rsidRPr="00A56B0E" w:rsidRDefault="00A56B0E" w:rsidP="00A56B0E">
            <w:pPr>
              <w:pStyle w:val="Merkittyluettelo"/>
              <w:numPr>
                <w:ilvl w:val="0"/>
                <w:numId w:val="0"/>
              </w:numPr>
              <w:spacing w:line="240" w:lineRule="auto"/>
              <w:ind w:left="360" w:hanging="360"/>
              <w:rPr>
                <w:rFonts w:ascii="Arial" w:hAnsi="Arial" w:cs="Arial"/>
                <w:b w:val="0"/>
                <w:bCs w:val="0"/>
                <w:sz w:val="20"/>
              </w:rPr>
            </w:pPr>
          </w:p>
          <w:p w14:paraId="6C1594A7" w14:textId="50BDC181" w:rsidR="00A56B0E" w:rsidRPr="00547748" w:rsidRDefault="00A56B0E" w:rsidP="00A56B0E">
            <w:pPr>
              <w:pStyle w:val="Merkittyluettelo"/>
              <w:numPr>
                <w:ilvl w:val="0"/>
                <w:numId w:val="44"/>
              </w:numPr>
              <w:spacing w:line="240" w:lineRule="auto"/>
              <w:rPr>
                <w:rFonts w:ascii="Arial" w:hAnsi="Arial" w:cs="Arial"/>
                <w:b w:val="0"/>
                <w:bCs w:val="0"/>
                <w:sz w:val="20"/>
              </w:rPr>
            </w:pPr>
            <w:r>
              <w:rPr>
                <w:rFonts w:ascii="Arial" w:hAnsi="Arial"/>
                <w:b w:val="0"/>
                <w:bCs w:val="0"/>
                <w:sz w:val="20"/>
              </w:rPr>
              <w:t>whether the services purchased include travel and overhead costs</w:t>
            </w:r>
          </w:p>
          <w:p w14:paraId="5C18352B" w14:textId="3D102511" w:rsidR="00547748" w:rsidRPr="00EE5DC5" w:rsidRDefault="00547748" w:rsidP="00EE5DC5">
            <w:pPr>
              <w:pStyle w:val="Merkittyluettelo"/>
              <w:numPr>
                <w:ilvl w:val="0"/>
                <w:numId w:val="44"/>
              </w:numPr>
              <w:spacing w:line="240" w:lineRule="auto"/>
              <w:rPr>
                <w:rFonts w:ascii="Arial" w:hAnsi="Arial" w:cs="Arial"/>
                <w:b w:val="0"/>
                <w:bCs w:val="0"/>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12F4C302" w14:textId="049B7CF7" w:rsidR="00A56B0E" w:rsidRPr="00A56B0E" w:rsidRDefault="00A56B0E" w:rsidP="00A56B0E">
            <w:pPr>
              <w:pStyle w:val="Merkittyluettelo"/>
              <w:numPr>
                <w:ilvl w:val="0"/>
                <w:numId w:val="44"/>
              </w:numPr>
              <w:spacing w:line="240" w:lineRule="auto"/>
              <w:rPr>
                <w:rFonts w:ascii="Arial" w:hAnsi="Arial" w:cs="Arial"/>
                <w:b w:val="0"/>
                <w:bCs w:val="0"/>
                <w:sz w:val="20"/>
              </w:rPr>
            </w:pPr>
            <w:r>
              <w:rPr>
                <w:rFonts w:ascii="Arial" w:hAnsi="Arial"/>
                <w:b w:val="0"/>
                <w:bCs w:val="0"/>
                <w:sz w:val="20"/>
              </w:rPr>
              <w:t>whether the purchases from Group/associated companies were reported without profit</w:t>
            </w:r>
          </w:p>
          <w:p w14:paraId="52E9CC69" w14:textId="77777777" w:rsidR="00A56B0E" w:rsidRPr="00A56B0E" w:rsidRDefault="00A56B0E" w:rsidP="00A56B0E">
            <w:pPr>
              <w:pStyle w:val="Merkittyluettelo"/>
              <w:numPr>
                <w:ilvl w:val="1"/>
                <w:numId w:val="44"/>
              </w:numPr>
              <w:spacing w:line="240" w:lineRule="auto"/>
              <w:rPr>
                <w:rFonts w:ascii="Arial" w:hAnsi="Arial" w:cs="Arial"/>
                <w:b w:val="0"/>
                <w:bCs w:val="0"/>
                <w:sz w:val="20"/>
              </w:rPr>
            </w:pPr>
            <w:r>
              <w:rPr>
                <w:rFonts w:ascii="Arial" w:hAnsi="Arial"/>
                <w:b w:val="0"/>
                <w:bCs w:val="0"/>
                <w:sz w:val="20"/>
              </w:rPr>
              <w:t>whether the beneficiary’s report includes an auditor’s report regarding the seller’s costs drawn up by an independent auditor</w:t>
            </w:r>
          </w:p>
          <w:p w14:paraId="173C4A6C" w14:textId="77777777" w:rsidR="009A7CB0" w:rsidRPr="00AA0CED" w:rsidRDefault="009A7CB0" w:rsidP="00A56B0E">
            <w:pPr>
              <w:pStyle w:val="Merkittyluettelo"/>
              <w:numPr>
                <w:ilvl w:val="0"/>
                <w:numId w:val="0"/>
              </w:numPr>
              <w:spacing w:after="0" w:line="240" w:lineRule="auto"/>
              <w:ind w:left="360" w:hanging="360"/>
              <w:rPr>
                <w:rFonts w:ascii="Arial" w:hAnsi="Arial" w:cs="Arial"/>
                <w:b w:val="0"/>
                <w:bCs w:val="0"/>
              </w:rPr>
            </w:pPr>
          </w:p>
          <w:p w14:paraId="38AB2371" w14:textId="753F8BAB" w:rsidR="009A7CB0" w:rsidRPr="00A56B0E" w:rsidRDefault="009A7CB0" w:rsidP="00A56B0E">
            <w:pPr>
              <w:pStyle w:val="Leipteksti"/>
              <w:spacing w:line="240" w:lineRule="auto"/>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tc>
        <w:tc>
          <w:tcPr>
            <w:tcW w:w="3997" w:type="dxa"/>
          </w:tcPr>
          <w:p w14:paraId="187B6BD0" w14:textId="77777777" w:rsidR="009A7CB0" w:rsidRDefault="009A7CB0"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gramStart"/>
            <w:r>
              <w:rPr>
                <w:rFonts w:ascii="Arial" w:hAnsi="Arial"/>
                <w:sz w:val="20"/>
              </w:rPr>
              <w:t>With regard to</w:t>
            </w:r>
            <w:proofErr w:type="gramEnd"/>
            <w:r>
              <w:rPr>
                <w:rFonts w:ascii="Arial" w:hAnsi="Arial"/>
                <w:sz w:val="20"/>
              </w:rPr>
              <w:t xml:space="preserve"> other cost categories, we found that </w:t>
            </w:r>
          </w:p>
          <w:p w14:paraId="51E3C229" w14:textId="77777777" w:rsidR="009A7CB0" w:rsidRPr="00AA0CED" w:rsidRDefault="009A7CB0"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99C7032"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7188E4B6"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2BBAFCF3" w14:textId="72D8A994"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3F86C03B" w14:textId="77777777" w:rsidR="009A7CB0" w:rsidRPr="00AA0CED"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exempt from VAT and that</w:t>
            </w:r>
          </w:p>
          <w:p w14:paraId="49E31A71" w14:textId="77777777" w:rsidR="006F22CF" w:rsidRDefault="009A7CB0"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0950BD26" w14:textId="5C8BE94E" w:rsidR="006F22CF" w:rsidRDefault="006F22CF" w:rsidP="00A56B0E">
            <w:pPr>
              <w:pStyle w:val="Merkittyluettelo"/>
              <w:numPr>
                <w:ilvl w:val="1"/>
                <w:numId w:val="40"/>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 </w:t>
            </w:r>
          </w:p>
          <w:p w14:paraId="7E8244D3" w14:textId="66975DA4" w:rsidR="006F22CF" w:rsidRDefault="006F22CF" w:rsidP="006F22CF">
            <w:pPr>
              <w:pStyle w:val="Merkittyluettelo"/>
              <w:numPr>
                <w:ilvl w:val="0"/>
                <w:numId w:val="0"/>
              </w:num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F897BFD" w14:textId="10645CD7" w:rsidR="009A7CB0" w:rsidRDefault="006F22CF" w:rsidP="006F22CF">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[do not include/include]</w:t>
            </w:r>
            <w:r>
              <w:rPr>
                <w:rFonts w:ascii="Arial" w:hAnsi="Arial"/>
                <w:sz w:val="20"/>
              </w:rPr>
              <w:t xml:space="preserve"> travel and overhead costs</w:t>
            </w:r>
          </w:p>
          <w:p w14:paraId="0964CF37" w14:textId="56E2F046" w:rsidR="00547748" w:rsidRPr="00EE5DC5" w:rsidRDefault="00547748" w:rsidP="00EE5DC5">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26A2BFC3" w14:textId="2D650F1E" w:rsidR="006F22CF" w:rsidRDefault="006F22CF" w:rsidP="006F22CF">
            <w:pPr>
              <w:pStyle w:val="Merkittyluettelo"/>
              <w:numPr>
                <w:ilvl w:val="0"/>
                <w:numId w:val="4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purchases from Group companies/other associated companies </w:t>
            </w:r>
            <w:r>
              <w:rPr>
                <w:rFonts w:ascii="Arial" w:hAnsi="Arial"/>
                <w:i/>
                <w:iCs/>
                <w:sz w:val="20"/>
              </w:rPr>
              <w:t>[have/have not been]</w:t>
            </w:r>
            <w:r>
              <w:rPr>
                <w:rFonts w:ascii="Arial" w:hAnsi="Arial"/>
                <w:sz w:val="20"/>
              </w:rPr>
              <w:t xml:space="preserve"> reported without profit</w:t>
            </w:r>
          </w:p>
          <w:p w14:paraId="4866699C" w14:textId="690078AA" w:rsidR="009A7CB0" w:rsidRPr="00EE5DC5" w:rsidRDefault="00700A9C" w:rsidP="00EE5DC5">
            <w:pPr>
              <w:pStyle w:val="Merkittyluettelo"/>
              <w:numPr>
                <w:ilvl w:val="1"/>
                <w:numId w:val="44"/>
              </w:numPr>
              <w:spacing w:line="240" w:lineRule="auto"/>
              <w:ind w:left="104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final report [</w:t>
            </w:r>
            <w:r>
              <w:rPr>
                <w:rFonts w:ascii="Arial" w:hAnsi="Arial"/>
                <w:i/>
                <w:iCs/>
                <w:sz w:val="20"/>
              </w:rPr>
              <w:t>includes/does not include</w:t>
            </w:r>
            <w:r>
              <w:rPr>
                <w:rFonts w:ascii="Arial" w:hAnsi="Arial"/>
                <w:sz w:val="20"/>
              </w:rPr>
              <w:t>] the auditor’s report regarding the seller’s costs</w:t>
            </w:r>
          </w:p>
          <w:p w14:paraId="1BEE5134" w14:textId="525307B5" w:rsidR="009A7CB0" w:rsidRPr="00AA0CED" w:rsidRDefault="009A7CB0" w:rsidP="00A56B0E">
            <w:pPr>
              <w:pStyle w:val="Leipteksti"/>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The sample (</w:t>
            </w:r>
            <w:r w:rsidR="00A85DBE">
              <w:rPr>
                <w:rFonts w:ascii="Arial" w:hAnsi="Arial"/>
                <w:sz w:val="20"/>
              </w:rPr>
              <w:t>6</w:t>
            </w:r>
            <w:r>
              <w:rPr>
                <w:rFonts w:ascii="Arial" w:hAnsi="Arial"/>
                <w:sz w:val="20"/>
              </w:rPr>
              <w:t>0%) consisted of the following receipts (name of the supplier and the VAT-free amount allocated to the project). The sample (15 %) consisted of the following receipts (name of the supplier and the VAT-free amount allocated to the project). (</w:t>
            </w:r>
            <w:proofErr w:type="gramStart"/>
            <w:r>
              <w:rPr>
                <w:rFonts w:ascii="Arial" w:hAnsi="Arial"/>
                <w:sz w:val="20"/>
              </w:rPr>
              <w:t>specification</w:t>
            </w:r>
            <w:proofErr w:type="gramEnd"/>
            <w:r>
              <w:rPr>
                <w:rFonts w:ascii="Arial" w:hAnsi="Arial"/>
                <w:sz w:val="20"/>
              </w:rPr>
              <w:t xml:space="preserve"> attached)</w:t>
            </w:r>
          </w:p>
        </w:tc>
      </w:tr>
      <w:bookmarkEnd w:id="1"/>
      <w:tr w:rsidR="00A56B0E" w:rsidRPr="0071558A" w14:paraId="26AB3CBF"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233E940" w14:textId="77777777" w:rsidR="00A56B0E" w:rsidRPr="0071558A" w:rsidRDefault="00A56B0E" w:rsidP="00A56B0E">
            <w:pPr>
              <w:pStyle w:val="Leipteksti"/>
              <w:spacing w:line="240" w:lineRule="auto"/>
              <w:rPr>
                <w:rFonts w:ascii="Arial" w:hAnsi="Arial" w:cs="Arial"/>
                <w:color w:val="FFFFFF" w:themeColor="background1"/>
                <w:sz w:val="20"/>
              </w:rPr>
            </w:pPr>
            <w:r>
              <w:rPr>
                <w:rFonts w:ascii="Arial" w:hAnsi="Arial"/>
                <w:color w:val="FFFFFF" w:themeColor="background1"/>
                <w:sz w:val="20"/>
              </w:rPr>
              <w:t>5. Imputed costs</w:t>
            </w:r>
          </w:p>
        </w:tc>
        <w:tc>
          <w:tcPr>
            <w:tcW w:w="3997" w:type="dxa"/>
            <w:shd w:val="clear" w:color="auto" w:fill="808080" w:themeFill="background1" w:themeFillShade="80"/>
          </w:tcPr>
          <w:p w14:paraId="1C87F413" w14:textId="77777777" w:rsidR="00A56B0E" w:rsidRPr="0071558A"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6B0E" w14:paraId="1FE4A363"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12462C94" w14:textId="5221FACE" w:rsidR="00A56B0E" w:rsidRPr="00A56B0E" w:rsidRDefault="00A56B0E" w:rsidP="00A56B0E">
            <w:pPr>
              <w:pStyle w:val="Leipteksti"/>
              <w:spacing w:line="240" w:lineRule="auto"/>
              <w:rPr>
                <w:rFonts w:ascii="Arial" w:hAnsi="Arial" w:cs="Arial"/>
                <w:b w:val="0"/>
                <w:bCs w:val="0"/>
                <w:sz w:val="20"/>
              </w:rPr>
            </w:pPr>
            <w:r>
              <w:rPr>
                <w:rFonts w:ascii="Arial" w:hAnsi="Arial"/>
                <w:b w:val="0"/>
                <w:bCs w:val="0"/>
                <w:sz w:val="20"/>
              </w:rPr>
              <w:t>There is no need to clarify the imputed share of other costs.</w:t>
            </w:r>
          </w:p>
        </w:tc>
        <w:tc>
          <w:tcPr>
            <w:tcW w:w="3997" w:type="dxa"/>
          </w:tcPr>
          <w:p w14:paraId="2928DE4B" w14:textId="150C1501" w:rsidR="00A56B0E" w:rsidRPr="00A56B0E"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r>
      <w:tr w:rsidR="00A56B0E" w:rsidRPr="0071558A" w14:paraId="1F40A77C"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15CD306" w14:textId="77777777" w:rsidR="00A56B0E" w:rsidRPr="006877CF" w:rsidRDefault="00A56B0E" w:rsidP="00A56B0E">
            <w:pPr>
              <w:pStyle w:val="Leipteksti"/>
              <w:spacing w:line="240" w:lineRule="auto"/>
              <w:rPr>
                <w:rFonts w:ascii="Arial" w:hAnsi="Arial" w:cs="Arial"/>
                <w:sz w:val="20"/>
              </w:rPr>
            </w:pPr>
            <w:r>
              <w:rPr>
                <w:rFonts w:ascii="Arial" w:hAnsi="Arial"/>
                <w:color w:val="FFFFFF" w:themeColor="background1"/>
                <w:sz w:val="20"/>
              </w:rPr>
              <w:t>6. Other public support</w:t>
            </w:r>
          </w:p>
        </w:tc>
        <w:tc>
          <w:tcPr>
            <w:tcW w:w="3997" w:type="dxa"/>
            <w:shd w:val="clear" w:color="auto" w:fill="808080" w:themeFill="background1" w:themeFillShade="80"/>
          </w:tcPr>
          <w:p w14:paraId="011860A7" w14:textId="77777777" w:rsidR="00A56B0E"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56B0E" w14:paraId="00252691"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0E65F819" w14:textId="77777777" w:rsidR="00A56B0E" w:rsidRPr="0071558A" w:rsidRDefault="00A56B0E" w:rsidP="00A56B0E">
            <w:pPr>
              <w:pStyle w:val="Leipteksti"/>
              <w:spacing w:line="240" w:lineRule="auto"/>
              <w:rPr>
                <w:rFonts w:ascii="Arial" w:hAnsi="Arial" w:cs="Arial"/>
                <w:b w:val="0"/>
                <w:bCs w:val="0"/>
                <w:sz w:val="20"/>
              </w:rPr>
            </w:pPr>
            <w:r>
              <w:rPr>
                <w:rFonts w:ascii="Arial" w:hAnsi="Arial"/>
                <w:b w:val="0"/>
                <w:bCs w:val="0"/>
                <w:sz w:val="20"/>
              </w:rPr>
              <w:lastRenderedPageBreak/>
              <w:t>We interviewed [xx/project management] to establish whether the Engaging Party had received any other public funding for this project.</w:t>
            </w:r>
          </w:p>
        </w:tc>
        <w:tc>
          <w:tcPr>
            <w:tcW w:w="3997" w:type="dxa"/>
          </w:tcPr>
          <w:p w14:paraId="78EB90F6" w14:textId="77777777" w:rsidR="00A56B0E"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A56B0E" w:rsidRPr="0071558A" w14:paraId="0C9B27D4" w14:textId="77777777" w:rsidTr="00EC7E7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C4547D8" w14:textId="77777777" w:rsidR="00A56B0E" w:rsidRPr="0071558A" w:rsidRDefault="00A56B0E" w:rsidP="00A56B0E">
            <w:pPr>
              <w:pStyle w:val="Leipteksti"/>
              <w:spacing w:line="240" w:lineRule="auto"/>
              <w:rPr>
                <w:rFonts w:ascii="Arial" w:hAnsi="Arial" w:cs="Arial"/>
                <w:color w:val="FFFFFF" w:themeColor="background1"/>
                <w:sz w:val="20"/>
              </w:rPr>
            </w:pPr>
            <w:r>
              <w:rPr>
                <w:rFonts w:ascii="Arial" w:hAnsi="Arial"/>
                <w:color w:val="FFFFFF" w:themeColor="background1"/>
                <w:sz w:val="20"/>
              </w:rPr>
              <w:t>7. Public procurements</w:t>
            </w:r>
          </w:p>
        </w:tc>
        <w:tc>
          <w:tcPr>
            <w:tcW w:w="3997" w:type="dxa"/>
            <w:shd w:val="clear" w:color="auto" w:fill="808080" w:themeFill="background1" w:themeFillShade="80"/>
          </w:tcPr>
          <w:p w14:paraId="78E1E1AA" w14:textId="77777777" w:rsidR="00A56B0E" w:rsidRPr="0071558A"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6B0E" w14:paraId="00F69F57"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3753A73D" w14:textId="7ECF4D26" w:rsidR="00A56B0E" w:rsidRPr="0037743B" w:rsidRDefault="00A56B0E" w:rsidP="00A56B0E">
            <w:pPr>
              <w:pStyle w:val="Leipteksti"/>
              <w:spacing w:line="240" w:lineRule="auto"/>
              <w:rPr>
                <w:rFonts w:ascii="Arial" w:hAnsi="Arial" w:cs="Arial"/>
                <w:b w:val="0"/>
                <w:bCs w:val="0"/>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r>
              <w:t xml:space="preserve"> </w:t>
            </w:r>
            <w:r>
              <w:rPr>
                <w:rFonts w:ascii="Arial" w:hAnsi="Arial"/>
                <w:b w:val="0"/>
                <w:bCs w:val="0"/>
                <w:sz w:val="20"/>
              </w:rPr>
              <w:t xml:space="preserve">This procedure only applies to productions in which the aid granted by the Funder and other public support for the Engaging Party combined amount to more than half of the costs or in which the Engaging Party is a public procurement entity. </w:t>
            </w:r>
          </w:p>
        </w:tc>
        <w:tc>
          <w:tcPr>
            <w:tcW w:w="3997" w:type="dxa"/>
          </w:tcPr>
          <w:p w14:paraId="1F43A3FB" w14:textId="136374CF" w:rsidR="00A56B0E" w:rsidRDefault="00A56B0E" w:rsidP="00A56B0E">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According to the project’s management, the Engaging Party</w:t>
            </w:r>
            <w:r>
              <w:rPr>
                <w:rFonts w:ascii="Arial" w:hAnsi="Arial"/>
                <w:i/>
                <w:iCs/>
                <w:sz w:val="20"/>
              </w:rPr>
              <w:t xml:space="preserve"> [has/has not</w:t>
            </w:r>
            <w:r>
              <w:rPr>
                <w:rFonts w:ascii="Arial" w:hAnsi="Arial"/>
                <w:sz w:val="20"/>
              </w:rPr>
              <w:t xml:space="preserve">] complied with the public procurement legislation </w:t>
            </w:r>
            <w:proofErr w:type="gramStart"/>
            <w:r>
              <w:rPr>
                <w:rFonts w:ascii="Arial" w:hAnsi="Arial"/>
                <w:sz w:val="20"/>
              </w:rPr>
              <w:t>with regard to</w:t>
            </w:r>
            <w:proofErr w:type="gramEnd"/>
            <w:r>
              <w:rPr>
                <w:rFonts w:ascii="Arial" w:hAnsi="Arial"/>
                <w:sz w:val="20"/>
              </w:rPr>
              <w:t xml:space="preserve"> costs reported for the project. An account of possible non-compliance with the procurement legislation:</w:t>
            </w:r>
          </w:p>
        </w:tc>
      </w:tr>
      <w:tr w:rsidR="00A56B0E" w:rsidRPr="0037743B" w14:paraId="4377F57A" w14:textId="77777777" w:rsidTr="00EC7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04B8734" w14:textId="77777777" w:rsidR="00A56B0E" w:rsidRPr="0037743B" w:rsidRDefault="00A56B0E" w:rsidP="00A56B0E">
            <w:pPr>
              <w:pStyle w:val="Leipteksti"/>
              <w:spacing w:line="240" w:lineRule="auto"/>
              <w:rPr>
                <w:rFonts w:ascii="Arial" w:hAnsi="Arial" w:cs="Arial"/>
                <w:color w:val="FFFFFF" w:themeColor="background1"/>
                <w:sz w:val="20"/>
              </w:rPr>
            </w:pPr>
            <w:r>
              <w:rPr>
                <w:rFonts w:ascii="Arial" w:hAnsi="Arial"/>
                <w:color w:val="FFFFFF" w:themeColor="background1"/>
                <w:sz w:val="20"/>
              </w:rPr>
              <w:t>8. Bank account to which the funding has been remitted</w:t>
            </w:r>
          </w:p>
        </w:tc>
        <w:tc>
          <w:tcPr>
            <w:tcW w:w="3997" w:type="dxa"/>
            <w:shd w:val="clear" w:color="auto" w:fill="808080" w:themeFill="background1" w:themeFillShade="80"/>
          </w:tcPr>
          <w:p w14:paraId="3C8E8B04" w14:textId="77777777" w:rsidR="00A56B0E" w:rsidRPr="0037743B" w:rsidRDefault="00A56B0E" w:rsidP="00A56B0E">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6B0E" w14:paraId="29A8AAD0" w14:textId="77777777" w:rsidTr="00EC7E70">
        <w:tc>
          <w:tcPr>
            <w:cnfStyle w:val="001000000000" w:firstRow="0" w:lastRow="0" w:firstColumn="1" w:lastColumn="0" w:oddVBand="0" w:evenVBand="0" w:oddHBand="0" w:evenHBand="0" w:firstRowFirstColumn="0" w:firstRowLastColumn="0" w:lastRowFirstColumn="0" w:lastRowLastColumn="0"/>
            <w:tcW w:w="6346" w:type="dxa"/>
          </w:tcPr>
          <w:p w14:paraId="6C112362" w14:textId="1F04C526" w:rsidR="00A56B0E" w:rsidRPr="0037743B" w:rsidRDefault="00A56B0E" w:rsidP="00A56B0E">
            <w:pPr>
              <w:pStyle w:val="Leipteksti"/>
              <w:spacing w:line="240" w:lineRule="auto"/>
              <w:rPr>
                <w:rFonts w:ascii="Arial" w:hAnsi="Arial" w:cs="Arial"/>
                <w:b w:val="0"/>
                <w:bCs w:val="0"/>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3997" w:type="dxa"/>
          </w:tcPr>
          <w:p w14:paraId="68874D2D" w14:textId="35FBFC24" w:rsidR="00A56B0E" w:rsidRPr="0037743B" w:rsidRDefault="00B95A56" w:rsidP="00B95A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7CC9E1B" w14:textId="2CCA4199" w:rsidR="009A7CB0" w:rsidRDefault="009A7CB0" w:rsidP="00E01E2F">
      <w:pPr>
        <w:pStyle w:val="Leipteksti"/>
        <w:spacing w:before="0" w:after="120" w:line="240" w:lineRule="auto"/>
        <w:jc w:val="both"/>
        <w:rPr>
          <w:rFonts w:ascii="Arial" w:hAnsi="Arial" w:cs="Arial"/>
          <w:sz w:val="20"/>
        </w:rPr>
      </w:pPr>
    </w:p>
    <w:p w14:paraId="66435B0E" w14:textId="41090512" w:rsidR="00A56B0E" w:rsidRDefault="00A56B0E" w:rsidP="00E01E2F">
      <w:pPr>
        <w:pStyle w:val="Leipteksti"/>
        <w:spacing w:before="0" w:after="120" w:line="240" w:lineRule="auto"/>
        <w:jc w:val="both"/>
        <w:rPr>
          <w:rFonts w:ascii="Arial" w:hAnsi="Arial" w:cs="Arial"/>
          <w:sz w:val="20"/>
        </w:rPr>
      </w:pPr>
    </w:p>
    <w:p w14:paraId="34B3685D" w14:textId="77777777" w:rsidR="00A56B0E" w:rsidRDefault="00A56B0E" w:rsidP="00A56B0E">
      <w:pPr>
        <w:pStyle w:val="Leipteksti"/>
        <w:spacing w:line="240" w:lineRule="auto"/>
        <w:rPr>
          <w:rFonts w:ascii="Arial" w:hAnsi="Arial" w:cs="Arial"/>
          <w:sz w:val="20"/>
        </w:rPr>
      </w:pPr>
      <w:r>
        <w:rPr>
          <w:rFonts w:ascii="Arial" w:hAnsi="Arial"/>
          <w:sz w:val="20"/>
        </w:rPr>
        <w:t>place and time</w:t>
      </w:r>
    </w:p>
    <w:p w14:paraId="61B795BE" w14:textId="77777777" w:rsidR="00A56B0E" w:rsidRPr="000B59E9" w:rsidRDefault="00A56B0E" w:rsidP="00A56B0E">
      <w:pPr>
        <w:pStyle w:val="Leipteksti"/>
        <w:spacing w:line="240" w:lineRule="auto"/>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p w14:paraId="12146D57" w14:textId="5AF891AF" w:rsidR="00A56B0E" w:rsidRDefault="00A56B0E" w:rsidP="00E01E2F">
      <w:pPr>
        <w:pStyle w:val="Leipteksti"/>
        <w:spacing w:before="0" w:after="120" w:line="240" w:lineRule="auto"/>
        <w:jc w:val="both"/>
        <w:rPr>
          <w:rFonts w:ascii="Arial" w:hAnsi="Arial" w:cs="Arial"/>
          <w:sz w:val="20"/>
        </w:rPr>
      </w:pPr>
    </w:p>
    <w:sectPr w:rsidR="00A56B0E" w:rsidSect="003B330F">
      <w:headerReference w:type="even" r:id="rId8"/>
      <w:headerReference w:type="default" r:id="rId9"/>
      <w:footerReference w:type="even" r:id="rId10"/>
      <w:footerReference w:type="default" r:id="rId11"/>
      <w:headerReference w:type="first" r:id="rId12"/>
      <w:footerReference w:type="first" r:id="rId13"/>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9520" w14:textId="77777777" w:rsidR="00AD5921" w:rsidRDefault="00AD5921">
      <w:r>
        <w:separator/>
      </w:r>
    </w:p>
  </w:endnote>
  <w:endnote w:type="continuationSeparator" w:id="0">
    <w:p w14:paraId="4C0141E8" w14:textId="77777777" w:rsidR="00AD5921" w:rsidRDefault="00AD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20A" w14:textId="77777777" w:rsidR="00A85DBE" w:rsidRDefault="00A85DB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C0CE" w14:textId="3BAD6C39" w:rsidR="00F6075D" w:rsidRPr="00D907D9" w:rsidRDefault="00F6075D" w:rsidP="001256E4">
    <w:pPr>
      <w:pStyle w:val="Alatunniste"/>
      <w:tabs>
        <w:tab w:val="clear" w:pos="8505"/>
        <w:tab w:val="right" w:pos="9639"/>
      </w:tabs>
      <w:rPr>
        <w:rFonts w:ascii="Arial" w:hAnsi="Arial" w:cs="Arial"/>
        <w:sz w:val="16"/>
        <w:szCs w:val="16"/>
      </w:rPr>
    </w:pPr>
    <w:r>
      <w:tab/>
    </w:r>
    <w:r>
      <w:tab/>
    </w:r>
    <w:bookmarkStart w:id="3" w:name="_Hlk96532031"/>
    <w:r>
      <w:rPr>
        <w:rFonts w:ascii="Arial" w:hAnsi="Arial"/>
        <w:sz w:val="16"/>
        <w:szCs w:val="16"/>
      </w:rPr>
      <w:t>2/1/2022</w:t>
    </w:r>
    <w:bookmarkEnd w:id="3"/>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8E0D" w14:textId="77777777" w:rsidR="00A85DBE" w:rsidRDefault="00A85DB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6633" w14:textId="77777777" w:rsidR="00AD5921" w:rsidRDefault="00AD5921">
      <w:r>
        <w:separator/>
      </w:r>
    </w:p>
  </w:footnote>
  <w:footnote w:type="continuationSeparator" w:id="0">
    <w:p w14:paraId="6324252F" w14:textId="77777777" w:rsidR="00AD5921" w:rsidRDefault="00AD5921">
      <w:r>
        <w:continuationSeparator/>
      </w:r>
    </w:p>
  </w:footnote>
  <w:footnote w:id="1">
    <w:p w14:paraId="1690BD7C" w14:textId="2E74209F" w:rsidR="00E01E2F" w:rsidRPr="00712DCD" w:rsidRDefault="00E01E2F" w:rsidP="00E01E2F">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w:t>
      </w:r>
      <w:bookmarkStart w:id="0" w:name="_Hlk96531965"/>
      <w:r>
        <w:rPr>
          <w:rFonts w:ascii="Arial" w:hAnsi="Arial"/>
          <w:sz w:val="16"/>
          <w:szCs w:val="16"/>
        </w:rPr>
        <w:t xml:space="preserve">The auditor </w:t>
      </w:r>
      <w:r w:rsidR="00E26E52">
        <w:rPr>
          <w:rFonts w:ascii="Arial" w:hAnsi="Arial"/>
          <w:sz w:val="16"/>
          <w:szCs w:val="16"/>
        </w:rPr>
        <w:t>states</w:t>
      </w:r>
      <w:r>
        <w:rPr>
          <w:rFonts w:ascii="Arial" w:hAnsi="Arial"/>
          <w:sz w:val="16"/>
          <w:szCs w:val="16"/>
        </w:rPr>
        <w:t xml:space="preserve"> the total costs of the project.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9E40" w14:textId="77777777" w:rsidR="00A85DBE" w:rsidRDefault="00A85DB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5B03" w14:textId="4A4D83BD" w:rsidR="00F6075D" w:rsidRDefault="002B6A7B" w:rsidP="00FF6854">
    <w:pPr>
      <w:pStyle w:val="Yltunniste"/>
      <w:tabs>
        <w:tab w:val="left" w:pos="4536"/>
      </w:tabs>
      <w:spacing w:line="240" w:lineRule="exact"/>
      <w:ind w:right="-567" w:firstLine="4536"/>
      <w:jc w:val="left"/>
      <w:rPr>
        <w:rFonts w:ascii="Arial" w:hAnsi="Arial" w:cs="Arial"/>
        <w:i w:val="0"/>
        <w:sz w:val="20"/>
      </w:rPr>
    </w:pPr>
    <w:r>
      <w:rPr>
        <w:noProof/>
      </w:rPr>
      <w:drawing>
        <wp:anchor distT="0" distB="0" distL="114300" distR="114300" simplePos="0" relativeHeight="251659264" behindDoc="1" locked="0" layoutInCell="1" allowOverlap="1" wp14:anchorId="3C95DCFD" wp14:editId="370C5CB2">
          <wp:simplePos x="0" y="0"/>
          <wp:positionH relativeFrom="margin">
            <wp:posOffset>0</wp:posOffset>
          </wp:positionH>
          <wp:positionV relativeFrom="paragraph">
            <wp:posOffset>-635</wp:posOffset>
          </wp:positionV>
          <wp:extent cx="952500" cy="400050"/>
          <wp:effectExtent l="0" t="0" r="0" b="0"/>
          <wp:wrapNone/>
          <wp:docPr id="3" name="Kuva 3"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5925EC">
      <w:rPr>
        <w:rFonts w:ascii="Arial" w:hAnsi="Arial" w:cs="Arial"/>
        <w:i w:val="0"/>
        <w:sz w:val="20"/>
      </w:rPr>
      <w:t>1</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5925EC">
      <w:rPr>
        <w:rFonts w:ascii="Arial" w:hAnsi="Arial" w:cs="Arial"/>
        <w:i w:val="0"/>
        <w:sz w:val="20"/>
      </w:rPr>
      <w:t>3</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Pr>
        <w:rFonts w:ascii="Arial" w:hAnsi="Arial"/>
        <w:i w:val="0"/>
        <w:sz w:val="20"/>
      </w:rPr>
      <w:tab/>
    </w:r>
    <w:bookmarkStart w:id="2" w:name="_Hlk96531764"/>
    <w:r w:rsidR="00E26E52">
      <w:rPr>
        <w:rFonts w:ascii="Arial" w:hAnsi="Arial"/>
        <w:i w:val="0"/>
        <w:sz w:val="20"/>
      </w:rPr>
      <w:t>Incentive for a</w:t>
    </w:r>
    <w:r>
      <w:rPr>
        <w:rFonts w:ascii="Arial" w:hAnsi="Arial"/>
        <w:i w:val="0"/>
        <w:sz w:val="20"/>
      </w:rPr>
      <w:t>udiovisual production</w:t>
    </w:r>
    <w:r w:rsidR="00E26E52">
      <w:rPr>
        <w:rFonts w:ascii="Arial" w:hAnsi="Arial"/>
        <w:i w:val="0"/>
        <w:sz w:val="20"/>
      </w:rPr>
      <w:t>s</w:t>
    </w:r>
    <w:bookmarkEnd w:id="2"/>
  </w:p>
  <w:p w14:paraId="0D1F7376" w14:textId="008F4318" w:rsidR="00F6075D" w:rsidRDefault="00F6075D" w:rsidP="00643E36">
    <w:pPr>
      <w:pStyle w:val="Yltunniste"/>
      <w:tabs>
        <w:tab w:val="left" w:pos="4536"/>
      </w:tabs>
      <w:spacing w:line="240" w:lineRule="exact"/>
      <w:ind w:firstLine="567"/>
      <w:jc w:val="center"/>
      <w:rPr>
        <w:rFonts w:ascii="Arial" w:hAnsi="Arial" w:cs="Arial"/>
        <w:i w:val="0"/>
        <w:sz w:val="20"/>
      </w:rPr>
    </w:pPr>
  </w:p>
  <w:p w14:paraId="0A9D229A" w14:textId="3EE007BC"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593E" w14:textId="77777777" w:rsidR="00A85DBE" w:rsidRDefault="00A85DB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120E01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0C24134"/>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D0CDC"/>
    <w:multiLevelType w:val="hybridMultilevel"/>
    <w:tmpl w:val="0FF6924C"/>
    <w:lvl w:ilvl="0" w:tplc="040B0019">
      <w:start w:val="1"/>
      <w:numFmt w:val="lowerLetter"/>
      <w:lvlText w:val="%1."/>
      <w:lvlJc w:val="left"/>
      <w:pPr>
        <w:ind w:left="949" w:hanging="360"/>
      </w:pPr>
    </w:lvl>
    <w:lvl w:ilvl="1" w:tplc="040B0019" w:tentative="1">
      <w:start w:val="1"/>
      <w:numFmt w:val="lowerLetter"/>
      <w:lvlText w:val="%2."/>
      <w:lvlJc w:val="left"/>
      <w:pPr>
        <w:ind w:left="1669" w:hanging="360"/>
      </w:pPr>
    </w:lvl>
    <w:lvl w:ilvl="2" w:tplc="040B001B" w:tentative="1">
      <w:start w:val="1"/>
      <w:numFmt w:val="lowerRoman"/>
      <w:lvlText w:val="%3."/>
      <w:lvlJc w:val="right"/>
      <w:pPr>
        <w:ind w:left="2389" w:hanging="180"/>
      </w:pPr>
    </w:lvl>
    <w:lvl w:ilvl="3" w:tplc="040B000F" w:tentative="1">
      <w:start w:val="1"/>
      <w:numFmt w:val="decimal"/>
      <w:lvlText w:val="%4."/>
      <w:lvlJc w:val="left"/>
      <w:pPr>
        <w:ind w:left="3109" w:hanging="360"/>
      </w:pPr>
    </w:lvl>
    <w:lvl w:ilvl="4" w:tplc="040B0019" w:tentative="1">
      <w:start w:val="1"/>
      <w:numFmt w:val="lowerLetter"/>
      <w:lvlText w:val="%5."/>
      <w:lvlJc w:val="left"/>
      <w:pPr>
        <w:ind w:left="3829" w:hanging="360"/>
      </w:pPr>
    </w:lvl>
    <w:lvl w:ilvl="5" w:tplc="040B001B" w:tentative="1">
      <w:start w:val="1"/>
      <w:numFmt w:val="lowerRoman"/>
      <w:lvlText w:val="%6."/>
      <w:lvlJc w:val="right"/>
      <w:pPr>
        <w:ind w:left="4549" w:hanging="180"/>
      </w:pPr>
    </w:lvl>
    <w:lvl w:ilvl="6" w:tplc="040B000F" w:tentative="1">
      <w:start w:val="1"/>
      <w:numFmt w:val="decimal"/>
      <w:lvlText w:val="%7."/>
      <w:lvlJc w:val="left"/>
      <w:pPr>
        <w:ind w:left="5269" w:hanging="360"/>
      </w:pPr>
    </w:lvl>
    <w:lvl w:ilvl="7" w:tplc="040B0019" w:tentative="1">
      <w:start w:val="1"/>
      <w:numFmt w:val="lowerLetter"/>
      <w:lvlText w:val="%8."/>
      <w:lvlJc w:val="left"/>
      <w:pPr>
        <w:ind w:left="5989" w:hanging="360"/>
      </w:pPr>
    </w:lvl>
    <w:lvl w:ilvl="8" w:tplc="040B001B" w:tentative="1">
      <w:start w:val="1"/>
      <w:numFmt w:val="lowerRoman"/>
      <w:lvlText w:val="%9."/>
      <w:lvlJc w:val="right"/>
      <w:pPr>
        <w:ind w:left="6709" w:hanging="180"/>
      </w:pPr>
    </w:lvl>
  </w:abstractNum>
  <w:abstractNum w:abstractNumId="8"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10" w15:restartNumberingAfterBreak="0">
    <w:nsid w:val="20B337CD"/>
    <w:multiLevelType w:val="hybridMultilevel"/>
    <w:tmpl w:val="10C4AE76"/>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2"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781947"/>
    <w:multiLevelType w:val="hybridMultilevel"/>
    <w:tmpl w:val="B8066CCA"/>
    <w:lvl w:ilvl="0" w:tplc="0409000F">
      <w:start w:val="1"/>
      <w:numFmt w:val="decimal"/>
      <w:lvlText w:val="%1."/>
      <w:lvlJc w:val="left"/>
      <w:pPr>
        <w:tabs>
          <w:tab w:val="num" w:pos="360"/>
        </w:tabs>
        <w:ind w:left="360" w:hanging="360"/>
      </w:pPr>
      <w:rPr>
        <w:rFonts w:cs="Times New Roman" w:hint="default"/>
        <w:color w:val="auto"/>
        <w:sz w:val="22"/>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052D9"/>
    <w:multiLevelType w:val="hybridMultilevel"/>
    <w:tmpl w:val="C83C33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EAE654A"/>
    <w:multiLevelType w:val="hybridMultilevel"/>
    <w:tmpl w:val="8BF6F4A0"/>
    <w:lvl w:ilvl="0" w:tplc="040B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hint="default"/>
      </w:rPr>
    </w:lvl>
    <w:lvl w:ilvl="2" w:tplc="040B001B" w:tentative="1">
      <w:start w:val="1"/>
      <w:numFmt w:val="lowerRoman"/>
      <w:lvlText w:val="%3."/>
      <w:lvlJc w:val="right"/>
      <w:pPr>
        <w:ind w:left="2389" w:hanging="180"/>
      </w:pPr>
    </w:lvl>
    <w:lvl w:ilvl="3" w:tplc="040B000F" w:tentative="1">
      <w:start w:val="1"/>
      <w:numFmt w:val="decimal"/>
      <w:lvlText w:val="%4."/>
      <w:lvlJc w:val="left"/>
      <w:pPr>
        <w:ind w:left="3109" w:hanging="360"/>
      </w:pPr>
    </w:lvl>
    <w:lvl w:ilvl="4" w:tplc="040B0019" w:tentative="1">
      <w:start w:val="1"/>
      <w:numFmt w:val="lowerLetter"/>
      <w:lvlText w:val="%5."/>
      <w:lvlJc w:val="left"/>
      <w:pPr>
        <w:ind w:left="3829" w:hanging="360"/>
      </w:pPr>
    </w:lvl>
    <w:lvl w:ilvl="5" w:tplc="040B001B" w:tentative="1">
      <w:start w:val="1"/>
      <w:numFmt w:val="lowerRoman"/>
      <w:lvlText w:val="%6."/>
      <w:lvlJc w:val="right"/>
      <w:pPr>
        <w:ind w:left="4549" w:hanging="180"/>
      </w:pPr>
    </w:lvl>
    <w:lvl w:ilvl="6" w:tplc="040B000F" w:tentative="1">
      <w:start w:val="1"/>
      <w:numFmt w:val="decimal"/>
      <w:lvlText w:val="%7."/>
      <w:lvlJc w:val="left"/>
      <w:pPr>
        <w:ind w:left="5269" w:hanging="360"/>
      </w:pPr>
    </w:lvl>
    <w:lvl w:ilvl="7" w:tplc="040B0019" w:tentative="1">
      <w:start w:val="1"/>
      <w:numFmt w:val="lowerLetter"/>
      <w:lvlText w:val="%8."/>
      <w:lvlJc w:val="left"/>
      <w:pPr>
        <w:ind w:left="5989" w:hanging="360"/>
      </w:pPr>
    </w:lvl>
    <w:lvl w:ilvl="8" w:tplc="040B001B" w:tentative="1">
      <w:start w:val="1"/>
      <w:numFmt w:val="lowerRoman"/>
      <w:lvlText w:val="%9."/>
      <w:lvlJc w:val="right"/>
      <w:pPr>
        <w:ind w:left="6709" w:hanging="180"/>
      </w:pPr>
    </w:lvl>
  </w:abstractNum>
  <w:abstractNum w:abstractNumId="1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2B31CA3"/>
    <w:multiLevelType w:val="hybridMultilevel"/>
    <w:tmpl w:val="8DA472AA"/>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10"/>
  </w:num>
  <w:num w:numId="8">
    <w:abstractNumId w:val="6"/>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4"/>
  </w:num>
  <w:num w:numId="34">
    <w:abstractNumId w:val="3"/>
  </w:num>
  <w:num w:numId="35">
    <w:abstractNumId w:val="3"/>
  </w:num>
  <w:num w:numId="36">
    <w:abstractNumId w:val="13"/>
  </w:num>
  <w:num w:numId="37">
    <w:abstractNumId w:val="20"/>
  </w:num>
  <w:num w:numId="38">
    <w:abstractNumId w:val="12"/>
  </w:num>
  <w:num w:numId="39">
    <w:abstractNumId w:val="5"/>
  </w:num>
  <w:num w:numId="40">
    <w:abstractNumId w:val="16"/>
  </w:num>
  <w:num w:numId="41">
    <w:abstractNumId w:val="4"/>
  </w:num>
  <w:num w:numId="42">
    <w:abstractNumId w:val="7"/>
  </w:num>
  <w:num w:numId="43">
    <w:abstractNumId w:val="3"/>
  </w:num>
  <w:num w:numId="44">
    <w:abstractNumId w:val="18"/>
  </w:num>
  <w:num w:numId="45">
    <w:abstractNumId w:val="19"/>
  </w:num>
  <w:num w:numId="46">
    <w:abstractNumId w:val="17"/>
  </w:num>
  <w:num w:numId="47">
    <w:abstractNumId w:val="15"/>
  </w:num>
  <w:num w:numId="48">
    <w:abstractNumId w:val="3"/>
  </w:num>
  <w:num w:numId="49">
    <w:abstractNumId w:val="3"/>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23043"/>
    <w:rsid w:val="00031947"/>
    <w:rsid w:val="00033539"/>
    <w:rsid w:val="000358EC"/>
    <w:rsid w:val="00047DFA"/>
    <w:rsid w:val="000500CF"/>
    <w:rsid w:val="000640E4"/>
    <w:rsid w:val="00067517"/>
    <w:rsid w:val="00071288"/>
    <w:rsid w:val="00073A87"/>
    <w:rsid w:val="0008009C"/>
    <w:rsid w:val="000846AE"/>
    <w:rsid w:val="00086671"/>
    <w:rsid w:val="000A44DE"/>
    <w:rsid w:val="000B2724"/>
    <w:rsid w:val="000B543D"/>
    <w:rsid w:val="000B59E9"/>
    <w:rsid w:val="000C3347"/>
    <w:rsid w:val="000C685A"/>
    <w:rsid w:val="000D46FB"/>
    <w:rsid w:val="000E38F6"/>
    <w:rsid w:val="000F0615"/>
    <w:rsid w:val="000F7A21"/>
    <w:rsid w:val="00100337"/>
    <w:rsid w:val="00101C90"/>
    <w:rsid w:val="001034DC"/>
    <w:rsid w:val="00106C14"/>
    <w:rsid w:val="001100DE"/>
    <w:rsid w:val="00120999"/>
    <w:rsid w:val="00124BCD"/>
    <w:rsid w:val="001256E4"/>
    <w:rsid w:val="001346F0"/>
    <w:rsid w:val="001464A7"/>
    <w:rsid w:val="00146A19"/>
    <w:rsid w:val="00157DC4"/>
    <w:rsid w:val="00167061"/>
    <w:rsid w:val="0017179F"/>
    <w:rsid w:val="00174A2F"/>
    <w:rsid w:val="001766F7"/>
    <w:rsid w:val="00176E2F"/>
    <w:rsid w:val="0017708D"/>
    <w:rsid w:val="00177538"/>
    <w:rsid w:val="0018126D"/>
    <w:rsid w:val="0018292E"/>
    <w:rsid w:val="00185783"/>
    <w:rsid w:val="001929DF"/>
    <w:rsid w:val="0019718E"/>
    <w:rsid w:val="001B191A"/>
    <w:rsid w:val="001B6159"/>
    <w:rsid w:val="001B72A3"/>
    <w:rsid w:val="001C4A7F"/>
    <w:rsid w:val="001D34B4"/>
    <w:rsid w:val="001D48BE"/>
    <w:rsid w:val="001D7C5F"/>
    <w:rsid w:val="001E2F11"/>
    <w:rsid w:val="001F64D4"/>
    <w:rsid w:val="00200901"/>
    <w:rsid w:val="00211925"/>
    <w:rsid w:val="00213EDC"/>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5430"/>
    <w:rsid w:val="002A7498"/>
    <w:rsid w:val="002B0C4A"/>
    <w:rsid w:val="002B1785"/>
    <w:rsid w:val="002B30A0"/>
    <w:rsid w:val="002B5AFE"/>
    <w:rsid w:val="002B6A7B"/>
    <w:rsid w:val="002B7A17"/>
    <w:rsid w:val="002C412A"/>
    <w:rsid w:val="002D1103"/>
    <w:rsid w:val="002D2437"/>
    <w:rsid w:val="002D3B08"/>
    <w:rsid w:val="002E541A"/>
    <w:rsid w:val="002E6D2E"/>
    <w:rsid w:val="002E7C59"/>
    <w:rsid w:val="002F41A7"/>
    <w:rsid w:val="00303BD8"/>
    <w:rsid w:val="003130EB"/>
    <w:rsid w:val="003175DD"/>
    <w:rsid w:val="00317AB0"/>
    <w:rsid w:val="00324567"/>
    <w:rsid w:val="00342B0D"/>
    <w:rsid w:val="0034358B"/>
    <w:rsid w:val="00343EF8"/>
    <w:rsid w:val="003528D7"/>
    <w:rsid w:val="00353FC4"/>
    <w:rsid w:val="003566E2"/>
    <w:rsid w:val="00357D6B"/>
    <w:rsid w:val="003600E0"/>
    <w:rsid w:val="00364FF5"/>
    <w:rsid w:val="00370B73"/>
    <w:rsid w:val="003738AC"/>
    <w:rsid w:val="00375937"/>
    <w:rsid w:val="0038150F"/>
    <w:rsid w:val="0038324F"/>
    <w:rsid w:val="00393EDE"/>
    <w:rsid w:val="0039451F"/>
    <w:rsid w:val="0039534D"/>
    <w:rsid w:val="003A14E6"/>
    <w:rsid w:val="003A31CC"/>
    <w:rsid w:val="003A6CB3"/>
    <w:rsid w:val="003B0868"/>
    <w:rsid w:val="003B330F"/>
    <w:rsid w:val="003B4529"/>
    <w:rsid w:val="003B477F"/>
    <w:rsid w:val="003B49D9"/>
    <w:rsid w:val="003B6572"/>
    <w:rsid w:val="003C0FF4"/>
    <w:rsid w:val="003D5775"/>
    <w:rsid w:val="003E28FD"/>
    <w:rsid w:val="003E2F1A"/>
    <w:rsid w:val="003E6992"/>
    <w:rsid w:val="003F3E07"/>
    <w:rsid w:val="003F6458"/>
    <w:rsid w:val="003F6532"/>
    <w:rsid w:val="003F7C51"/>
    <w:rsid w:val="00402519"/>
    <w:rsid w:val="00416A30"/>
    <w:rsid w:val="00416CB8"/>
    <w:rsid w:val="00421AD9"/>
    <w:rsid w:val="00421C90"/>
    <w:rsid w:val="00425A35"/>
    <w:rsid w:val="004263A8"/>
    <w:rsid w:val="00427D14"/>
    <w:rsid w:val="00430BF3"/>
    <w:rsid w:val="00432B20"/>
    <w:rsid w:val="00443545"/>
    <w:rsid w:val="00443640"/>
    <w:rsid w:val="0044791A"/>
    <w:rsid w:val="004532D7"/>
    <w:rsid w:val="00455308"/>
    <w:rsid w:val="00456158"/>
    <w:rsid w:val="004611CB"/>
    <w:rsid w:val="00472E57"/>
    <w:rsid w:val="0047629D"/>
    <w:rsid w:val="004800A9"/>
    <w:rsid w:val="004806D5"/>
    <w:rsid w:val="00483872"/>
    <w:rsid w:val="004864AE"/>
    <w:rsid w:val="00486F90"/>
    <w:rsid w:val="00490C69"/>
    <w:rsid w:val="004919FF"/>
    <w:rsid w:val="004934D1"/>
    <w:rsid w:val="00495CDC"/>
    <w:rsid w:val="0049603E"/>
    <w:rsid w:val="00496EE1"/>
    <w:rsid w:val="00497129"/>
    <w:rsid w:val="0049741A"/>
    <w:rsid w:val="004A2B61"/>
    <w:rsid w:val="004A4607"/>
    <w:rsid w:val="004A4A95"/>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6575"/>
    <w:rsid w:val="00520953"/>
    <w:rsid w:val="00523B35"/>
    <w:rsid w:val="00526321"/>
    <w:rsid w:val="005301BB"/>
    <w:rsid w:val="00532A50"/>
    <w:rsid w:val="00532E0C"/>
    <w:rsid w:val="005337D8"/>
    <w:rsid w:val="00535AC5"/>
    <w:rsid w:val="005362DA"/>
    <w:rsid w:val="005406D7"/>
    <w:rsid w:val="00545DF9"/>
    <w:rsid w:val="00547748"/>
    <w:rsid w:val="0055337F"/>
    <w:rsid w:val="00560A75"/>
    <w:rsid w:val="00562C1D"/>
    <w:rsid w:val="0057320C"/>
    <w:rsid w:val="00575660"/>
    <w:rsid w:val="0057590A"/>
    <w:rsid w:val="00575BE7"/>
    <w:rsid w:val="00577F4F"/>
    <w:rsid w:val="00582963"/>
    <w:rsid w:val="00584C12"/>
    <w:rsid w:val="00585AE1"/>
    <w:rsid w:val="00590369"/>
    <w:rsid w:val="005904FA"/>
    <w:rsid w:val="00591FE5"/>
    <w:rsid w:val="005925EC"/>
    <w:rsid w:val="005A02AD"/>
    <w:rsid w:val="005A1013"/>
    <w:rsid w:val="005A7521"/>
    <w:rsid w:val="005B0B07"/>
    <w:rsid w:val="005B31BF"/>
    <w:rsid w:val="005C5D29"/>
    <w:rsid w:val="005E21C1"/>
    <w:rsid w:val="005E414B"/>
    <w:rsid w:val="005E4BB9"/>
    <w:rsid w:val="005E7E19"/>
    <w:rsid w:val="00601419"/>
    <w:rsid w:val="00610672"/>
    <w:rsid w:val="0061173E"/>
    <w:rsid w:val="00611D7F"/>
    <w:rsid w:val="00613925"/>
    <w:rsid w:val="0061412C"/>
    <w:rsid w:val="00615DF5"/>
    <w:rsid w:val="00616608"/>
    <w:rsid w:val="00642622"/>
    <w:rsid w:val="00643E36"/>
    <w:rsid w:val="0064575A"/>
    <w:rsid w:val="00647136"/>
    <w:rsid w:val="00652945"/>
    <w:rsid w:val="0066639E"/>
    <w:rsid w:val="00676082"/>
    <w:rsid w:val="0068253E"/>
    <w:rsid w:val="00682CA9"/>
    <w:rsid w:val="00682E32"/>
    <w:rsid w:val="006871D7"/>
    <w:rsid w:val="0069137B"/>
    <w:rsid w:val="006A0F62"/>
    <w:rsid w:val="006A3FE7"/>
    <w:rsid w:val="006A4038"/>
    <w:rsid w:val="006A4514"/>
    <w:rsid w:val="006B54CB"/>
    <w:rsid w:val="006B6131"/>
    <w:rsid w:val="006B6508"/>
    <w:rsid w:val="006C21FD"/>
    <w:rsid w:val="006C7004"/>
    <w:rsid w:val="006D2182"/>
    <w:rsid w:val="006D2A9E"/>
    <w:rsid w:val="006D5137"/>
    <w:rsid w:val="006E2137"/>
    <w:rsid w:val="006E3258"/>
    <w:rsid w:val="006E6119"/>
    <w:rsid w:val="006F22CF"/>
    <w:rsid w:val="006F7643"/>
    <w:rsid w:val="00700A9C"/>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85440"/>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CBC"/>
    <w:rsid w:val="00807A11"/>
    <w:rsid w:val="00811500"/>
    <w:rsid w:val="008153E5"/>
    <w:rsid w:val="00820BDF"/>
    <w:rsid w:val="00822FAF"/>
    <w:rsid w:val="00826E11"/>
    <w:rsid w:val="00827088"/>
    <w:rsid w:val="008310B4"/>
    <w:rsid w:val="0083333B"/>
    <w:rsid w:val="008344D7"/>
    <w:rsid w:val="00841D00"/>
    <w:rsid w:val="00853690"/>
    <w:rsid w:val="0085453E"/>
    <w:rsid w:val="00856A3D"/>
    <w:rsid w:val="00860C8D"/>
    <w:rsid w:val="00862927"/>
    <w:rsid w:val="0086459F"/>
    <w:rsid w:val="00873AA1"/>
    <w:rsid w:val="00873C44"/>
    <w:rsid w:val="0088485A"/>
    <w:rsid w:val="00886128"/>
    <w:rsid w:val="00890291"/>
    <w:rsid w:val="008908D5"/>
    <w:rsid w:val="008918CC"/>
    <w:rsid w:val="00897243"/>
    <w:rsid w:val="008A3792"/>
    <w:rsid w:val="008B2FB5"/>
    <w:rsid w:val="008B3B93"/>
    <w:rsid w:val="008C0D02"/>
    <w:rsid w:val="008C348D"/>
    <w:rsid w:val="008C63D6"/>
    <w:rsid w:val="008C6B9E"/>
    <w:rsid w:val="008C7ECA"/>
    <w:rsid w:val="008D1349"/>
    <w:rsid w:val="008D30C0"/>
    <w:rsid w:val="008D69BB"/>
    <w:rsid w:val="008E08EB"/>
    <w:rsid w:val="008E4DE0"/>
    <w:rsid w:val="008F2562"/>
    <w:rsid w:val="008F28A1"/>
    <w:rsid w:val="008F29F2"/>
    <w:rsid w:val="008F4FDB"/>
    <w:rsid w:val="008F6528"/>
    <w:rsid w:val="00900A22"/>
    <w:rsid w:val="00904AFD"/>
    <w:rsid w:val="009137CA"/>
    <w:rsid w:val="00913FB3"/>
    <w:rsid w:val="0091775C"/>
    <w:rsid w:val="0092029C"/>
    <w:rsid w:val="00927B02"/>
    <w:rsid w:val="00940090"/>
    <w:rsid w:val="00941936"/>
    <w:rsid w:val="00951A2E"/>
    <w:rsid w:val="00954E03"/>
    <w:rsid w:val="00955994"/>
    <w:rsid w:val="00956D36"/>
    <w:rsid w:val="00960991"/>
    <w:rsid w:val="00965289"/>
    <w:rsid w:val="00965EE0"/>
    <w:rsid w:val="00974F00"/>
    <w:rsid w:val="00975371"/>
    <w:rsid w:val="009759BC"/>
    <w:rsid w:val="00987CA8"/>
    <w:rsid w:val="0099469C"/>
    <w:rsid w:val="009A05E0"/>
    <w:rsid w:val="009A2ED6"/>
    <w:rsid w:val="009A33D6"/>
    <w:rsid w:val="009A7CB0"/>
    <w:rsid w:val="009B1F69"/>
    <w:rsid w:val="009B4E1D"/>
    <w:rsid w:val="009B516B"/>
    <w:rsid w:val="009B5A4C"/>
    <w:rsid w:val="009C3BA2"/>
    <w:rsid w:val="009C627E"/>
    <w:rsid w:val="009D089E"/>
    <w:rsid w:val="009D0B80"/>
    <w:rsid w:val="009D1CED"/>
    <w:rsid w:val="009D3F41"/>
    <w:rsid w:val="009D48AC"/>
    <w:rsid w:val="009D6209"/>
    <w:rsid w:val="009D6F0D"/>
    <w:rsid w:val="009E3249"/>
    <w:rsid w:val="009E6D84"/>
    <w:rsid w:val="009F02D8"/>
    <w:rsid w:val="009F28DE"/>
    <w:rsid w:val="009F3931"/>
    <w:rsid w:val="009F596C"/>
    <w:rsid w:val="009F617E"/>
    <w:rsid w:val="009F61CD"/>
    <w:rsid w:val="009F6F64"/>
    <w:rsid w:val="00A03D4F"/>
    <w:rsid w:val="00A3031B"/>
    <w:rsid w:val="00A355DE"/>
    <w:rsid w:val="00A3615C"/>
    <w:rsid w:val="00A45A86"/>
    <w:rsid w:val="00A55BA6"/>
    <w:rsid w:val="00A56B0E"/>
    <w:rsid w:val="00A61872"/>
    <w:rsid w:val="00A62125"/>
    <w:rsid w:val="00A650C5"/>
    <w:rsid w:val="00A7347D"/>
    <w:rsid w:val="00A772C0"/>
    <w:rsid w:val="00A80F48"/>
    <w:rsid w:val="00A85DBE"/>
    <w:rsid w:val="00A909FE"/>
    <w:rsid w:val="00A94EE6"/>
    <w:rsid w:val="00A954AC"/>
    <w:rsid w:val="00AA06EE"/>
    <w:rsid w:val="00AA12AF"/>
    <w:rsid w:val="00AA29C9"/>
    <w:rsid w:val="00AA5154"/>
    <w:rsid w:val="00AA5346"/>
    <w:rsid w:val="00AA6A97"/>
    <w:rsid w:val="00AA6B46"/>
    <w:rsid w:val="00AA78B4"/>
    <w:rsid w:val="00AB365C"/>
    <w:rsid w:val="00AB42A3"/>
    <w:rsid w:val="00AB5F31"/>
    <w:rsid w:val="00AC3F43"/>
    <w:rsid w:val="00AC7DDD"/>
    <w:rsid w:val="00AD0D7F"/>
    <w:rsid w:val="00AD5921"/>
    <w:rsid w:val="00AD6083"/>
    <w:rsid w:val="00AD7F90"/>
    <w:rsid w:val="00AE3C6C"/>
    <w:rsid w:val="00AE4025"/>
    <w:rsid w:val="00AE4135"/>
    <w:rsid w:val="00AE58AA"/>
    <w:rsid w:val="00AE5CA6"/>
    <w:rsid w:val="00AE6060"/>
    <w:rsid w:val="00AE7DA7"/>
    <w:rsid w:val="00AF4004"/>
    <w:rsid w:val="00AF6723"/>
    <w:rsid w:val="00B041A8"/>
    <w:rsid w:val="00B055C6"/>
    <w:rsid w:val="00B060F2"/>
    <w:rsid w:val="00B06C12"/>
    <w:rsid w:val="00B06E98"/>
    <w:rsid w:val="00B10806"/>
    <w:rsid w:val="00B10A6D"/>
    <w:rsid w:val="00B11C3C"/>
    <w:rsid w:val="00B11CC6"/>
    <w:rsid w:val="00B20DEA"/>
    <w:rsid w:val="00B21FC3"/>
    <w:rsid w:val="00B26CAB"/>
    <w:rsid w:val="00B444D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A56"/>
    <w:rsid w:val="00B95FB6"/>
    <w:rsid w:val="00B97A4D"/>
    <w:rsid w:val="00BA3AAC"/>
    <w:rsid w:val="00BA4FD2"/>
    <w:rsid w:val="00BA7BD6"/>
    <w:rsid w:val="00BB10B0"/>
    <w:rsid w:val="00BB29DA"/>
    <w:rsid w:val="00BB3307"/>
    <w:rsid w:val="00BC28AF"/>
    <w:rsid w:val="00BC4ECC"/>
    <w:rsid w:val="00BD7B88"/>
    <w:rsid w:val="00BE1518"/>
    <w:rsid w:val="00BE3111"/>
    <w:rsid w:val="00BF1471"/>
    <w:rsid w:val="00BF22A4"/>
    <w:rsid w:val="00C02C19"/>
    <w:rsid w:val="00C0348F"/>
    <w:rsid w:val="00C03845"/>
    <w:rsid w:val="00C124D7"/>
    <w:rsid w:val="00C1282D"/>
    <w:rsid w:val="00C27A9F"/>
    <w:rsid w:val="00C31F11"/>
    <w:rsid w:val="00C34178"/>
    <w:rsid w:val="00C35358"/>
    <w:rsid w:val="00C435BE"/>
    <w:rsid w:val="00C43C44"/>
    <w:rsid w:val="00C500AC"/>
    <w:rsid w:val="00C5097B"/>
    <w:rsid w:val="00C518C9"/>
    <w:rsid w:val="00C62755"/>
    <w:rsid w:val="00C62A63"/>
    <w:rsid w:val="00C632F6"/>
    <w:rsid w:val="00C63D7D"/>
    <w:rsid w:val="00C64FB6"/>
    <w:rsid w:val="00C67E6F"/>
    <w:rsid w:val="00C70498"/>
    <w:rsid w:val="00C731A8"/>
    <w:rsid w:val="00C73C0B"/>
    <w:rsid w:val="00C74BB8"/>
    <w:rsid w:val="00C74D31"/>
    <w:rsid w:val="00C7508A"/>
    <w:rsid w:val="00C775D2"/>
    <w:rsid w:val="00C873DD"/>
    <w:rsid w:val="00C91C62"/>
    <w:rsid w:val="00C9417C"/>
    <w:rsid w:val="00CA2775"/>
    <w:rsid w:val="00CA592D"/>
    <w:rsid w:val="00CB1F63"/>
    <w:rsid w:val="00CB6B96"/>
    <w:rsid w:val="00CB6F16"/>
    <w:rsid w:val="00CE2B3F"/>
    <w:rsid w:val="00CE2C3C"/>
    <w:rsid w:val="00CF0B6A"/>
    <w:rsid w:val="00D00706"/>
    <w:rsid w:val="00D00B97"/>
    <w:rsid w:val="00D01A55"/>
    <w:rsid w:val="00D03267"/>
    <w:rsid w:val="00D03F60"/>
    <w:rsid w:val="00D04110"/>
    <w:rsid w:val="00D064B1"/>
    <w:rsid w:val="00D2013F"/>
    <w:rsid w:val="00D229A3"/>
    <w:rsid w:val="00D2650D"/>
    <w:rsid w:val="00D2685C"/>
    <w:rsid w:val="00D300A6"/>
    <w:rsid w:val="00D323C6"/>
    <w:rsid w:val="00D35DD8"/>
    <w:rsid w:val="00D41281"/>
    <w:rsid w:val="00D4654B"/>
    <w:rsid w:val="00D5030C"/>
    <w:rsid w:val="00D52A29"/>
    <w:rsid w:val="00D556B0"/>
    <w:rsid w:val="00D6099A"/>
    <w:rsid w:val="00D744D8"/>
    <w:rsid w:val="00D756A6"/>
    <w:rsid w:val="00D756B2"/>
    <w:rsid w:val="00D81380"/>
    <w:rsid w:val="00D84191"/>
    <w:rsid w:val="00D85419"/>
    <w:rsid w:val="00D87B82"/>
    <w:rsid w:val="00D907D9"/>
    <w:rsid w:val="00D91DD1"/>
    <w:rsid w:val="00D957FA"/>
    <w:rsid w:val="00DA051D"/>
    <w:rsid w:val="00DB7027"/>
    <w:rsid w:val="00DC0C3B"/>
    <w:rsid w:val="00DC4328"/>
    <w:rsid w:val="00DC66E7"/>
    <w:rsid w:val="00DD1DEA"/>
    <w:rsid w:val="00DD4CF6"/>
    <w:rsid w:val="00DD65E3"/>
    <w:rsid w:val="00DE33FC"/>
    <w:rsid w:val="00DE3C16"/>
    <w:rsid w:val="00DE5537"/>
    <w:rsid w:val="00DE5E17"/>
    <w:rsid w:val="00E01DF2"/>
    <w:rsid w:val="00E01E2F"/>
    <w:rsid w:val="00E07008"/>
    <w:rsid w:val="00E10A28"/>
    <w:rsid w:val="00E135AC"/>
    <w:rsid w:val="00E146F5"/>
    <w:rsid w:val="00E17CDA"/>
    <w:rsid w:val="00E26E52"/>
    <w:rsid w:val="00E34347"/>
    <w:rsid w:val="00E34857"/>
    <w:rsid w:val="00E35A28"/>
    <w:rsid w:val="00E442B0"/>
    <w:rsid w:val="00E4464C"/>
    <w:rsid w:val="00E44853"/>
    <w:rsid w:val="00E46D31"/>
    <w:rsid w:val="00E54199"/>
    <w:rsid w:val="00E60CE8"/>
    <w:rsid w:val="00E612B9"/>
    <w:rsid w:val="00E61DB6"/>
    <w:rsid w:val="00E63024"/>
    <w:rsid w:val="00E63AC6"/>
    <w:rsid w:val="00E64B00"/>
    <w:rsid w:val="00E6574D"/>
    <w:rsid w:val="00E72F8D"/>
    <w:rsid w:val="00E731E6"/>
    <w:rsid w:val="00E73498"/>
    <w:rsid w:val="00E7794E"/>
    <w:rsid w:val="00E807D6"/>
    <w:rsid w:val="00E848BA"/>
    <w:rsid w:val="00E91018"/>
    <w:rsid w:val="00E94A63"/>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E5DC5"/>
    <w:rsid w:val="00EF1FE8"/>
    <w:rsid w:val="00EF69B5"/>
    <w:rsid w:val="00F01F18"/>
    <w:rsid w:val="00F046E4"/>
    <w:rsid w:val="00F05456"/>
    <w:rsid w:val="00F056F5"/>
    <w:rsid w:val="00F061F1"/>
    <w:rsid w:val="00F07D87"/>
    <w:rsid w:val="00F109EB"/>
    <w:rsid w:val="00F10C34"/>
    <w:rsid w:val="00F27975"/>
    <w:rsid w:val="00F3114B"/>
    <w:rsid w:val="00F32896"/>
    <w:rsid w:val="00F4098B"/>
    <w:rsid w:val="00F434D7"/>
    <w:rsid w:val="00F50EA8"/>
    <w:rsid w:val="00F5155E"/>
    <w:rsid w:val="00F6075D"/>
    <w:rsid w:val="00F61393"/>
    <w:rsid w:val="00F632F9"/>
    <w:rsid w:val="00F8159F"/>
    <w:rsid w:val="00F829BB"/>
    <w:rsid w:val="00F96A6E"/>
    <w:rsid w:val="00FA423E"/>
    <w:rsid w:val="00FB6B39"/>
    <w:rsid w:val="00FB768D"/>
    <w:rsid w:val="00FC0765"/>
    <w:rsid w:val="00FD10AB"/>
    <w:rsid w:val="00FD1911"/>
    <w:rsid w:val="00FD357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B24752"/>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paragraph" w:styleId="Sisennettyleipteksti2">
    <w:name w:val="Body Text Indent 2"/>
    <w:basedOn w:val="Normaali"/>
    <w:link w:val="Sisennettyleipteksti2Char"/>
    <w:uiPriority w:val="99"/>
    <w:semiHidden/>
    <w:unhideWhenUsed/>
    <w:locked/>
    <w:rsid w:val="004532D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4532D7"/>
    <w:rPr>
      <w:sz w:val="22"/>
      <w:lang w:eastAsia="en-US"/>
    </w:rPr>
  </w:style>
  <w:style w:type="table" w:styleId="Yksinkertainentaulukko1">
    <w:name w:val="Plain Table 1"/>
    <w:basedOn w:val="Normaalitaulukko"/>
    <w:uiPriority w:val="41"/>
    <w:rsid w:val="009A7CB0"/>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34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5145-C0F7-4DA2-8D07-003BBE18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2066</Words>
  <Characters>11251</Characters>
  <Application>Microsoft Office Word</Application>
  <DocSecurity>0</DocSecurity>
  <Lines>93</Lines>
  <Paragraphs>26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2017-02-03T13:58:00Z</cp:lastPrinted>
  <dcterms:created xsi:type="dcterms:W3CDTF">2022-03-29T11:20:00Z</dcterms:created>
  <dcterms:modified xsi:type="dcterms:W3CDTF">2022-03-29T11:20:00Z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