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  <w:bookmarkStart w:id="0" w:name="_GoBack"/>
      <w:bookmarkEnd w:id="0"/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D820E2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r>
        <w:rPr>
          <w:b/>
          <w:noProof/>
          <w:color w:val="000000" w:themeColor="text1"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1988820" cy="640080"/>
                <wp:effectExtent l="0" t="0" r="0" b="762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85" w:rsidRPr="00277985" w:rsidRDefault="00277985" w:rsidP="00277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985">
                              <w:rPr>
                                <w:color w:val="000000" w:themeColor="text1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57.15pt;margin-top:1.75pt;width:156.6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" filled="f" strokecolor="black [3213]" strokeweight=".5pt">
                <v:path arrowok="t"/>
                <v:textbox>
                  <w:txbxContent>
                    <w:p w:rsidR="00277985" w:rsidRPr="00277985" w:rsidRDefault="00277985" w:rsidP="002779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77985">
                        <w:rPr>
                          <w:color w:val="000000" w:themeColor="text1"/>
                        </w:rPr>
                        <w:t>Company logo</w:t>
                      </w:r>
                    </w:p>
                  </w:txbxContent>
                </v:textbox>
              </v:rect>
            </w:pict>
          </mc:Fallback>
        </mc:AlternateConten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1D6A22">
      <w:pPr>
        <w:pStyle w:val="ITberschriftAohneNr"/>
        <w:spacing w:beforeLines="60" w:before="144" w:afterLines="60" w:after="144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EndPr/>
      <w:sdtContent>
        <w:p w:rsidR="002933AC" w:rsidRDefault="00BD1368">
          <w:pPr>
            <w:pStyle w:val="TOC1"/>
            <w:rPr>
              <w:sz w:val="24"/>
              <w:szCs w:val="24"/>
              <w:lang w:val="en-US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</w:p>
        <w:p w:rsidR="00504B99" w:rsidRPr="00504B99" w:rsidRDefault="0001731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504B9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Pr="00504B9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Hyperlink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Hyperlink"/>
              </w:rPr>
              <w:t>Project Outline</w:t>
            </w:r>
            <w:r w:rsidR="00504B9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Hyperlink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Hyperlink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Hyperlink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Hyperlink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Hyperlink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Hyperlink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Hyperlink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5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Hyperlink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6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Hyperlink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Hyperlink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Hyperlink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</w:rPr>
              <w:t>Budget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Hyperlink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Hyperlink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Hyperlink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Hyperlink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Hyperlink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Hyperlink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Hyperlink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Hyperlink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Hyperlink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Hyperlink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Hyperlink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Hyperlink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Hyperlink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Hyperlink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Hyperlink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Hyperlink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Hyperlink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Hyperlink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Hyperlink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Hyperlink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Hyperlink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Hyperlink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Hyperlink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Hyperlink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Hyperlink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13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Hyperlink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Hyperlink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Hyperlink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14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Hyperlink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2933AC">
              <w:rPr>
                <w:noProof/>
                <w:webHidden/>
              </w:rPr>
              <w:t>14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Hyperlink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Hyperlink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Hyperlink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Hyperlink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122D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Hyperlink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Hyperlink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2933AC">
              <w:rPr>
                <w:webHidden/>
              </w:rPr>
              <w:t>15</w:t>
            </w:r>
            <w:r w:rsidR="00017319">
              <w:rPr>
                <w:webHidden/>
              </w:rPr>
              <w:fldChar w:fldCharType="end"/>
            </w:r>
          </w:hyperlink>
        </w:p>
        <w:p w:rsidR="00A274BD" w:rsidRPr="00A16672" w:rsidRDefault="00017319" w:rsidP="001D6A22">
          <w:pPr>
            <w:spacing w:beforeLines="60" w:before="144" w:afterLines="60" w:after="144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1" w:name="_Toc495919885"/>
      <w:bookmarkStart w:id="2" w:name="_Toc529275637"/>
      <w:r w:rsidRPr="00504B99">
        <w:lastRenderedPageBreak/>
        <w:t>Project Outline</w:t>
      </w:r>
      <w:bookmarkEnd w:id="1"/>
      <w:bookmarkEnd w:id="2"/>
    </w:p>
    <w:p w:rsidR="00FB71D8" w:rsidRPr="00504B99" w:rsidRDefault="00F96B3D" w:rsidP="00A274BD">
      <w:pPr>
        <w:pStyle w:val="ITberschrift11"/>
        <w:rPr>
          <w:lang w:val="en-US"/>
        </w:rPr>
      </w:pPr>
      <w:bookmarkStart w:id="3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3"/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4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5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5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6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6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7" w:name="_Toc529275642"/>
      <w:r w:rsidRPr="00A16672">
        <w:rPr>
          <w:lang w:val="en-GB"/>
        </w:rPr>
        <w:t>First Industrial Deployment</w:t>
      </w:r>
      <w:bookmarkEnd w:id="7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8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8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9" w:name="_Toc529275644"/>
      <w:r w:rsidRPr="000956E9">
        <w:rPr>
          <w:lang w:val="en-GB"/>
        </w:rPr>
        <w:lastRenderedPageBreak/>
        <w:t>Work P</w:t>
      </w:r>
      <w:r w:rsidR="008A6C79" w:rsidRPr="00504B99">
        <w:rPr>
          <w:lang w:val="en-GB"/>
        </w:rPr>
        <w:t>lan</w:t>
      </w:r>
      <w:bookmarkEnd w:id="9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6"/>
        <w:gridCol w:w="689"/>
        <w:gridCol w:w="4751"/>
        <w:gridCol w:w="1436"/>
        <w:gridCol w:w="1432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Caption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01731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01731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01731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10" w:name="_Toc529275645"/>
      <w:r w:rsidRPr="00504B99">
        <w:rPr>
          <w:lang w:val="en-GB"/>
        </w:rPr>
        <w:lastRenderedPageBreak/>
        <w:t>Investment</w:t>
      </w:r>
      <w:bookmarkEnd w:id="10"/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1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</w:t>
      </w:r>
      <w:r w:rsidR="001D6A22" w:rsidRPr="00504B99">
        <w:rPr>
          <w:i/>
          <w:lang w:val="en-GB"/>
        </w:rPr>
        <w:t>.</w:t>
      </w:r>
      <w:r w:rsidR="004766EF" w:rsidRPr="00504B99">
        <w:rPr>
          <w:i/>
          <w:lang w:val="en-GB"/>
        </w:rPr>
        <w:t xml:space="preserve">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Caption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Caption"/>
        <w:rPr>
          <w:lang w:val="en-GB"/>
        </w:rPr>
      </w:pPr>
      <w:r w:rsidRPr="00504B99">
        <w:rPr>
          <w:lang w:val="en-GB"/>
        </w:rPr>
        <w:t xml:space="preserve">Table </w:t>
      </w:r>
      <w:r w:rsidR="00017319"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="00017319" w:rsidRPr="00504B99">
        <w:fldChar w:fldCharType="separate"/>
      </w:r>
      <w:r w:rsidR="00D769DE" w:rsidRPr="00504B99">
        <w:rPr>
          <w:noProof/>
          <w:lang w:val="en-GB"/>
        </w:rPr>
        <w:t>2</w:t>
      </w:r>
      <w:r w:rsidR="00017319"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2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2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TableGrid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Caption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Caption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3" w:name="_Toc529275648"/>
      <w:r w:rsidRPr="00504B99">
        <w:lastRenderedPageBreak/>
        <w:t>Budget</w:t>
      </w:r>
      <w:bookmarkEnd w:id="13"/>
    </w:p>
    <w:p w:rsidR="007B000A" w:rsidRDefault="00EA378C" w:rsidP="007B000A">
      <w:pPr>
        <w:pStyle w:val="ITberschrift11"/>
        <w:rPr>
          <w:lang w:val="en-GB"/>
        </w:rPr>
      </w:pPr>
      <w:bookmarkStart w:id="14" w:name="_Toc529275649"/>
      <w:r w:rsidRPr="00504B99">
        <w:rPr>
          <w:lang w:val="en-GB"/>
        </w:rPr>
        <w:t>Eligible Costs</w:t>
      </w:r>
      <w:bookmarkEnd w:id="14"/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 xml:space="preserve">, within the FID costs, the costs of R&amp;D carried out in the FID phase should </w:t>
      </w:r>
      <w:r w:rsidR="001D6A22" w:rsidRPr="007B000A">
        <w:rPr>
          <w:lang w:val="en-GB"/>
        </w:rPr>
        <w:t>be mentioned</w:t>
      </w:r>
      <w:r w:rsidRPr="007B000A">
        <w:rPr>
          <w:lang w:val="en-GB"/>
        </w:rPr>
        <w:t>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cut-off date of the R&amp;D and FID phases should be provided explicitly by each </w:t>
      </w:r>
      <w:r w:rsidR="001D6A22" w:rsidRPr="007B000A">
        <w:rPr>
          <w:lang w:val="en-GB"/>
        </w:rPr>
        <w:t>company (</w:t>
      </w:r>
      <w:r w:rsidRPr="007B000A">
        <w:rPr>
          <w:lang w:val="en-GB"/>
        </w:rPr>
        <w:t xml:space="preserve">The template Excel contains vertical lines, showing these cut-offs, these should be </w:t>
      </w:r>
      <w:r w:rsidR="001D6A22" w:rsidRPr="007B000A">
        <w:rPr>
          <w:lang w:val="en-GB"/>
        </w:rPr>
        <w:t>adapted per</w:t>
      </w:r>
      <w:r w:rsidRPr="007B000A">
        <w:rPr>
          <w:lang w:val="en-GB"/>
        </w:rPr>
        <w:t xml:space="preserve">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Eligible costs cover costs up to the end of the FID phase (even if the FID phase goes </w:t>
      </w:r>
      <w:r w:rsidR="001D6A22" w:rsidRPr="007B000A">
        <w:rPr>
          <w:lang w:val="en-GB"/>
        </w:rPr>
        <w:t>beyond the</w:t>
      </w:r>
      <w:r w:rsidRPr="007B000A">
        <w:rPr>
          <w:lang w:val="en-GB"/>
        </w:rPr>
        <w:t xml:space="preserve">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end result of this step should be one figure: the total amount of eligible costs at the </w:t>
      </w:r>
      <w:r w:rsidR="001D6A22" w:rsidRPr="007B000A">
        <w:rPr>
          <w:lang w:val="en-GB"/>
        </w:rPr>
        <w:t>end of</w:t>
      </w:r>
      <w:r w:rsidRPr="007B000A">
        <w:rPr>
          <w:lang w:val="en-GB"/>
        </w:rPr>
        <w:t xml:space="preserve"> the IPCEI, including the FID phase</w:t>
      </w:r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Note: all costs mentioned in the Excel sheet are considered by the Member States as eligible </w:t>
      </w:r>
      <w:r w:rsidR="001D6A22" w:rsidRPr="007B000A">
        <w:rPr>
          <w:lang w:val="en-GB"/>
        </w:rPr>
        <w:t>costs under</w:t>
      </w:r>
      <w:r w:rsidRPr="007B000A">
        <w:rPr>
          <w:lang w:val="en-GB"/>
        </w:rPr>
        <w:t xml:space="preserve">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TableGrid"/>
        <w:tblW w:w="8892" w:type="dxa"/>
        <w:tblLook w:val="04A0" w:firstRow="1" w:lastRow="0" w:firstColumn="1" w:lastColumn="0" w:noHBand="0" w:noVBand="1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Caption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FootnoteReference"/>
        </w:rPr>
        <w:footnoteReference w:id="1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TableGrid"/>
        <w:tblW w:w="9174" w:type="dxa"/>
        <w:tblLayout w:type="fixed"/>
        <w:tblLook w:val="04A0" w:firstRow="1" w:lastRow="0" w:firstColumn="1" w:lastColumn="0" w:noHBand="0" w:noVBand="1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Caption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FootnoteReference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lastRenderedPageBreak/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lastRenderedPageBreak/>
        <w:t>Other positive effect on the market</w:t>
      </w:r>
      <w:bookmarkEnd w:id="24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Pr="00504B99">
        <w:rPr>
          <w:i/>
          <w:lang w:val="en-GB"/>
        </w:rPr>
        <w:t xml:space="preserve"> the level of innovation and R&amp;D in the sector </w:t>
      </w:r>
      <w:r w:rsidR="001D6A22" w:rsidRPr="00504B99">
        <w:rPr>
          <w:i/>
          <w:lang w:val="en-GB"/>
        </w:rPr>
        <w:t>and the</w:t>
      </w:r>
      <w:r w:rsidRPr="00504B99">
        <w:rPr>
          <w:i/>
          <w:lang w:val="en-GB"/>
        </w:rPr>
        <w:t xml:space="preserve">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1D6A22">
        <w:rPr>
          <w:i/>
          <w:lang w:val="en-GB"/>
        </w:rPr>
        <w:t>of</w:t>
      </w:r>
      <w:r w:rsidR="001D6A22" w:rsidRPr="00A16672">
        <w:rPr>
          <w:i/>
          <w:lang w:val="en-GB"/>
        </w:rPr>
        <w:t xml:space="preserve"> the</w:t>
      </w:r>
      <w:r w:rsidRPr="00A16672">
        <w:rPr>
          <w:i/>
          <w:lang w:val="en-GB"/>
        </w:rPr>
        <w:t xml:space="preserve">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</w:t>
      </w:r>
      <w:r w:rsidR="001D6A22" w:rsidRPr="000956E9">
        <w:rPr>
          <w:i/>
          <w:lang w:val="en-GB"/>
        </w:rPr>
        <w:t>and</w:t>
      </w:r>
      <w:r w:rsidR="001D6A22">
        <w:rPr>
          <w:i/>
          <w:lang w:val="en-GB"/>
        </w:rPr>
        <w:t xml:space="preserve"> on</w:t>
      </w:r>
      <w:r w:rsidR="00C7449B">
        <w:rPr>
          <w:i/>
          <w:lang w:val="en-GB"/>
        </w:rPr>
        <w:t xml:space="preserve">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 xml:space="preserve">Due to scale and complexity of the IPCEI explain the difficulty to work together </w:t>
      </w:r>
      <w:r w:rsidR="001D6A22" w:rsidRPr="00A16672">
        <w:rPr>
          <w:i/>
          <w:sz w:val="22"/>
          <w:lang w:val="en-US"/>
        </w:rPr>
        <w:t>particularly</w:t>
      </w:r>
      <w:r w:rsidRPr="00A16672">
        <w:rPr>
          <w:i/>
          <w:sz w:val="22"/>
          <w:lang w:val="en-US"/>
        </w:rPr>
        <w:t xml:space="preserve">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1D6A22">
        <w:rPr>
          <w:i/>
          <w:sz w:val="22"/>
          <w:lang w:val="en-US"/>
        </w:rPr>
        <w:t>suppliers</w:t>
      </w:r>
      <w:r w:rsidR="001D6A22" w:rsidRPr="00504B99">
        <w:rPr>
          <w:i/>
          <w:sz w:val="22"/>
          <w:lang w:val="en-US"/>
        </w:rPr>
        <w:t xml:space="preserve"> and</w:t>
      </w:r>
      <w:r w:rsidRPr="00504B99">
        <w:rPr>
          <w:i/>
          <w:sz w:val="22"/>
          <w:lang w:val="en-US"/>
        </w:rPr>
        <w:t xml:space="preserve">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1D6A22" w:rsidRPr="00504B99">
        <w:rPr>
          <w:lang w:val="en-US"/>
        </w:rPr>
        <w:t>ad</w:t>
      </w:r>
      <w:r w:rsidR="001D6A22">
        <w:rPr>
          <w:lang w:val="en-US"/>
        </w:rPr>
        <w:t>e</w:t>
      </w:r>
      <w:r w:rsidR="001D6A22" w:rsidRPr="00504B99">
        <w:rPr>
          <w:lang w:val="en-US"/>
        </w:rPr>
        <w:t>qua</w:t>
      </w:r>
      <w:r w:rsidR="001D6A22">
        <w:rPr>
          <w:lang w:val="en-US"/>
        </w:rPr>
        <w:t>cy</w:t>
      </w:r>
      <w:r w:rsidR="001D6A22" w:rsidRPr="00504B99">
        <w:rPr>
          <w:lang w:val="en-US"/>
        </w:rPr>
        <w:t xml:space="preserve"> to</w:t>
      </w:r>
      <w:r w:rsidRPr="00504B99">
        <w:rPr>
          <w:lang w:val="en-US"/>
        </w:rPr>
        <w:t xml:space="preserve">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lastRenderedPageBreak/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 xml:space="preserve">here should also be a counterfactual scenario at the overall IPCEI level, </w:t>
      </w:r>
      <w:r w:rsidR="001D6A22" w:rsidRPr="00FE1B3C">
        <w:rPr>
          <w:i/>
          <w:lang w:val="en-GB"/>
        </w:rPr>
        <w:t>in order</w:t>
      </w:r>
      <w:r w:rsidRPr="00FE1B3C">
        <w:rPr>
          <w:i/>
          <w:lang w:val="en-GB"/>
        </w:rPr>
        <w:t xml:space="preserve"> to understand what happens if the IPCEI would not take place. A counterfactual at IPCEI </w:t>
      </w:r>
      <w:r w:rsidR="001D6A22" w:rsidRPr="00FE1B3C">
        <w:rPr>
          <w:i/>
          <w:lang w:val="en-GB"/>
        </w:rPr>
        <w:t>level could</w:t>
      </w:r>
      <w:r w:rsidRPr="00FE1B3C">
        <w:rPr>
          <w:i/>
          <w:lang w:val="en-GB"/>
        </w:rPr>
        <w:t xml:space="preserve">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counterfactual scenario should be described in sufficient detail. E.g. a mere statement </w:t>
      </w:r>
      <w:r w:rsidR="001D6A22" w:rsidRPr="00FE1B3C">
        <w:rPr>
          <w:i/>
          <w:lang w:val="en-GB"/>
        </w:rPr>
        <w:t>that “the</w:t>
      </w:r>
      <w:r w:rsidRPr="00FE1B3C">
        <w:rPr>
          <w:i/>
          <w:lang w:val="en-GB"/>
        </w:rPr>
        <w:t xml:space="preserve"> company would not undertake the project as planned in its Member State without the </w:t>
      </w:r>
      <w:r w:rsidR="001D6A22" w:rsidRPr="00FE1B3C">
        <w:rPr>
          <w:i/>
          <w:lang w:val="en-GB"/>
        </w:rPr>
        <w:t>aid” is</w:t>
      </w:r>
      <w:r w:rsidRPr="00FE1B3C">
        <w:rPr>
          <w:i/>
          <w:lang w:val="en-GB"/>
        </w:rPr>
        <w:t xml:space="preserve"> not sufficient. It should be described in detail if it will not undertake the project at all, or </w:t>
      </w:r>
      <w:r w:rsidR="001D6A22" w:rsidRPr="00FE1B3C">
        <w:rPr>
          <w:i/>
          <w:lang w:val="en-GB"/>
        </w:rPr>
        <w:t>will undertake</w:t>
      </w:r>
      <w:r w:rsidRPr="00FE1B3C">
        <w:rPr>
          <w:i/>
          <w:lang w:val="en-GB"/>
        </w:rPr>
        <w:t xml:space="preserve"> it but in a different manner/extent, or will possibly undertake it somewhere else. </w:t>
      </w:r>
      <w:r w:rsidR="001D6A22" w:rsidRPr="00FE1B3C">
        <w:rPr>
          <w:i/>
          <w:lang w:val="en-GB"/>
        </w:rPr>
        <w:t>As the</w:t>
      </w:r>
      <w:r w:rsidRPr="00FE1B3C">
        <w:rPr>
          <w:i/>
          <w:lang w:val="en-GB"/>
        </w:rPr>
        <w:t xml:space="preserve"> IPCEI Communication requires, the intended change must be specified (the change </w:t>
      </w:r>
      <w:r w:rsidR="001D6A22" w:rsidRPr="00FE1B3C">
        <w:rPr>
          <w:i/>
          <w:lang w:val="en-GB"/>
        </w:rPr>
        <w:t>in behaviour</w:t>
      </w:r>
      <w:r w:rsidRPr="00FE1B3C">
        <w:rPr>
          <w:i/>
          <w:lang w:val="en-GB"/>
        </w:rPr>
        <w:t xml:space="preserve"> which is expected to result from the State aid, that is to say whether a new project </w:t>
      </w:r>
      <w:r w:rsidR="001D6A22" w:rsidRPr="00FE1B3C">
        <w:rPr>
          <w:i/>
          <w:lang w:val="en-GB"/>
        </w:rPr>
        <w:t>is triggered</w:t>
      </w:r>
      <w:r w:rsidRPr="00FE1B3C">
        <w:rPr>
          <w:i/>
          <w:lang w:val="en-GB"/>
        </w:rPr>
        <w:t xml:space="preserve">, or the size, scope or speed of a project is enhanced; The change of behaviour has to </w:t>
      </w:r>
      <w:r w:rsidR="001D6A22" w:rsidRPr="00FE1B3C">
        <w:rPr>
          <w:i/>
          <w:lang w:val="en-GB"/>
        </w:rPr>
        <w:t>be identified</w:t>
      </w:r>
      <w:r w:rsidRPr="00FE1B3C">
        <w:rPr>
          <w:i/>
          <w:lang w:val="en-GB"/>
        </w:rPr>
        <w:t xml:space="preserve"> by comparing what would be the expected outcome and level of intended activity </w:t>
      </w:r>
      <w:r w:rsidR="001D6A22" w:rsidRPr="00FE1B3C">
        <w:rPr>
          <w:i/>
          <w:lang w:val="en-GB"/>
        </w:rPr>
        <w:t>with and</w:t>
      </w:r>
      <w:r w:rsidRPr="00FE1B3C">
        <w:rPr>
          <w:i/>
          <w:lang w:val="en-GB"/>
        </w:rPr>
        <w:t xml:space="preserve">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This description can be in the technological field documents, or, if confidential in nature, in </w:t>
      </w:r>
      <w:r w:rsidR="001D6A22" w:rsidRPr="00FE1B3C">
        <w:rPr>
          <w:i/>
          <w:lang w:val="en-GB"/>
        </w:rPr>
        <w:t>the accompanying</w:t>
      </w:r>
      <w:r w:rsidRPr="00FE1B3C">
        <w:rPr>
          <w:i/>
          <w:lang w:val="en-GB"/>
        </w:rPr>
        <w:t xml:space="preserve">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</w:t>
      </w:r>
      <w:r w:rsidR="001D6A22" w:rsidRPr="00FE1B3C">
        <w:rPr>
          <w:i/>
          <w:lang w:val="en-GB"/>
        </w:rPr>
        <w:t>internal company</w:t>
      </w:r>
      <w:r w:rsidRPr="00FE1B3C">
        <w:rPr>
          <w:i/>
          <w:lang w:val="en-GB"/>
        </w:rPr>
        <w:t xml:space="preserve"> documents, showing that the company faces a clear choice and how the decision </w:t>
      </w:r>
      <w:r w:rsidR="001D6A22" w:rsidRPr="00FE1B3C">
        <w:rPr>
          <w:i/>
          <w:lang w:val="en-GB"/>
        </w:rPr>
        <w:t>on whether</w:t>
      </w:r>
      <w:r w:rsidRPr="00FE1B3C">
        <w:rPr>
          <w:i/>
          <w:lang w:val="en-GB"/>
        </w:rPr>
        <w:t xml:space="preserve"> to carry out the project is taken. This requirement is in line with the </w:t>
      </w:r>
      <w:r w:rsidR="001D6A22" w:rsidRPr="00FE1B3C">
        <w:rPr>
          <w:i/>
          <w:lang w:val="en-GB"/>
        </w:rPr>
        <w:t>documentary evidence</w:t>
      </w:r>
      <w:r w:rsidRPr="00FE1B3C">
        <w:rPr>
          <w:i/>
          <w:lang w:val="en-GB"/>
        </w:rPr>
        <w:t xml:space="preserve">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If the counterfactual scenario is that there is no alternative project, there is no need for </w:t>
      </w:r>
      <w:r w:rsidR="001D6A22" w:rsidRPr="00FE1B3C">
        <w:rPr>
          <w:i/>
          <w:lang w:val="en-GB"/>
        </w:rPr>
        <w:t>a counterfactual</w:t>
      </w:r>
      <w:r w:rsidRPr="00FE1B3C">
        <w:rPr>
          <w:i/>
          <w:lang w:val="en-GB"/>
        </w:rPr>
        <w:t xml:space="preserve"> project tab with calculations in the Excel sheet. The Commission will only </w:t>
      </w:r>
      <w:r w:rsidR="001D6A22" w:rsidRPr="00FE1B3C">
        <w:rPr>
          <w:i/>
          <w:lang w:val="en-GB"/>
        </w:rPr>
        <w:t>assess the</w:t>
      </w:r>
      <w:r w:rsidRPr="00FE1B3C">
        <w:rPr>
          <w:i/>
          <w:lang w:val="en-GB"/>
        </w:rPr>
        <w:t xml:space="preserve">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company: two step check of the </w:t>
      </w:r>
      <w:r w:rsidR="001D6A22" w:rsidRPr="00FE1B3C">
        <w:rPr>
          <w:i/>
          <w:lang w:val="en-GB"/>
        </w:rPr>
        <w:t>IPCEI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Communication</w:t>
      </w:r>
      <w:r w:rsidRPr="00FE1B3C">
        <w:rPr>
          <w:i/>
          <w:lang w:val="en-GB"/>
        </w:rPr>
        <w:t xml:space="preserve">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1) Identify the eligible costs: The possible eligible costs are listed in the Annex of the </w:t>
      </w:r>
      <w:r w:rsidR="001D6A22" w:rsidRPr="00FE1B3C">
        <w:rPr>
          <w:i/>
          <w:lang w:val="en-GB"/>
        </w:rPr>
        <w:t>IPCEI Communication</w:t>
      </w:r>
      <w:r w:rsidRPr="00FE1B3C">
        <w:rPr>
          <w:i/>
          <w:lang w:val="en-GB"/>
        </w:rPr>
        <w:t xml:space="preserve">. The aid amount for any beneficiary can in no case exceed 100% of </w:t>
      </w:r>
      <w:r w:rsidR="001D6A22" w:rsidRPr="00FE1B3C">
        <w:rPr>
          <w:i/>
          <w:lang w:val="en-GB"/>
        </w:rPr>
        <w:t>the eligible</w:t>
      </w:r>
      <w:r w:rsidRPr="00FE1B3C">
        <w:rPr>
          <w:i/>
          <w:lang w:val="en-GB"/>
        </w:rPr>
        <w:t xml:space="preserve">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In general, the aid amount corresponds to the funding gap. The aid amount can in no </w:t>
      </w:r>
      <w:r w:rsidR="001D6A22" w:rsidRPr="00FE1B3C">
        <w:rPr>
          <w:i/>
          <w:lang w:val="en-GB"/>
        </w:rPr>
        <w:t>case exceed</w:t>
      </w:r>
      <w:r w:rsidRPr="00FE1B3C">
        <w:rPr>
          <w:i/>
          <w:lang w:val="en-GB"/>
        </w:rPr>
        <w:t xml:space="preserve">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Where there is a counterfactual alternative project, there is a counterfactual tab in the </w:t>
      </w:r>
      <w:r w:rsidR="001D6A22" w:rsidRPr="00FE1B3C">
        <w:rPr>
          <w:i/>
          <w:lang w:val="en-GB"/>
        </w:rPr>
        <w:t>Excel sheet</w:t>
      </w:r>
      <w:r w:rsidRPr="00FE1B3C">
        <w:rPr>
          <w:i/>
          <w:lang w:val="en-GB"/>
        </w:rPr>
        <w:t xml:space="preserve"> with full calculation of the net present value of the positive and negative cash flows of </w:t>
      </w:r>
      <w:r w:rsidR="001D6A22" w:rsidRPr="00FE1B3C">
        <w:rPr>
          <w:i/>
          <w:lang w:val="en-GB"/>
        </w:rPr>
        <w:t>the counterfactual</w:t>
      </w:r>
      <w:r w:rsidRPr="00FE1B3C">
        <w:rPr>
          <w:i/>
          <w:lang w:val="en-GB"/>
        </w:rPr>
        <w:t xml:space="preserve">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Proportionality of aid amount per beneficiary company in the IPCEI Communication in case </w:t>
      </w:r>
      <w:r w:rsidR="001D6A22" w:rsidRPr="00FE1B3C">
        <w:rPr>
          <w:i/>
          <w:lang w:val="en-GB"/>
        </w:rPr>
        <w:t>there is</w:t>
      </w:r>
      <w:r w:rsidRPr="00FE1B3C">
        <w:rPr>
          <w:i/>
          <w:lang w:val="en-GB"/>
        </w:rPr>
        <w:t xml:space="preserve">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1) Identify the eligible costs in the basic scenario: The possible eligible costs are listed in </w:t>
      </w:r>
      <w:r w:rsidR="001D6A22" w:rsidRPr="00FE1B3C">
        <w:rPr>
          <w:i/>
          <w:lang w:val="en-GB"/>
        </w:rPr>
        <w:t>the Annex</w:t>
      </w:r>
      <w:r w:rsidR="00FE1B3C" w:rsidRPr="00FE1B3C">
        <w:rPr>
          <w:i/>
          <w:lang w:val="en-GB"/>
        </w:rPr>
        <w:t xml:space="preserve">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2) Identify the difference between the NPV of the alternative project and the NPV of the </w:t>
      </w:r>
      <w:r w:rsidR="001D6A22" w:rsidRPr="00FE1B3C">
        <w:rPr>
          <w:i/>
          <w:lang w:val="en-GB"/>
        </w:rPr>
        <w:t>aided project</w:t>
      </w:r>
      <w:r w:rsidR="00FE1B3C" w:rsidRPr="00FE1B3C">
        <w:rPr>
          <w:i/>
          <w:lang w:val="en-GB"/>
        </w:rPr>
        <w:t xml:space="preserve">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</w:t>
      </w:r>
      <w:r w:rsidR="001D6A22">
        <w:rPr>
          <w:i/>
          <w:lang w:val="en-GB"/>
        </w:rPr>
        <w:t>convenient</w:t>
      </w:r>
      <w:r w:rsidR="001D6A22" w:rsidRPr="00FE1B3C">
        <w:rPr>
          <w:i/>
          <w:lang w:val="en-GB"/>
        </w:rPr>
        <w:t xml:space="preserve"> to</w:t>
      </w:r>
      <w:r w:rsidRPr="00FE1B3C">
        <w:rPr>
          <w:i/>
          <w:lang w:val="en-GB"/>
        </w:rPr>
        <w:t xml:space="preserve">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lastRenderedPageBreak/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Each company should provide all costs and revenues associated with the investment as </w:t>
      </w:r>
      <w:r w:rsidR="001D6A22" w:rsidRPr="00FE1B3C">
        <w:rPr>
          <w:i/>
          <w:lang w:val="en-GB"/>
        </w:rPr>
        <w:t>a whole</w:t>
      </w:r>
      <w:r w:rsidRPr="00FE1B3C">
        <w:rPr>
          <w:i/>
          <w:lang w:val="en-GB"/>
        </w:rPr>
        <w:t xml:space="preserve"> and the boundaries of investment should be defined from the perspective of </w:t>
      </w:r>
      <w:r w:rsidR="001D6A22" w:rsidRPr="00FE1B3C">
        <w:rPr>
          <w:i/>
          <w:lang w:val="en-GB"/>
        </w:rPr>
        <w:t>the business</w:t>
      </w:r>
      <w:r w:rsidRPr="00FE1B3C">
        <w:rPr>
          <w:i/>
          <w:lang w:val="en-GB"/>
        </w:rPr>
        <w:t xml:space="preserve"> investor: the calculation should include all (positive and negative) cash-flows </w:t>
      </w:r>
      <w:r w:rsidR="001D6A22" w:rsidRPr="00FE1B3C">
        <w:rPr>
          <w:i/>
          <w:lang w:val="en-GB"/>
        </w:rPr>
        <w:t>for what</w:t>
      </w:r>
      <w:r w:rsidRPr="00FE1B3C">
        <w:rPr>
          <w:i/>
          <w:lang w:val="en-GB"/>
        </w:rPr>
        <w:t xml:space="preserve"> the investor regards as the investment project, at the time these cash-flows are to </w:t>
      </w:r>
      <w:r w:rsidR="001D6A22" w:rsidRPr="00FE1B3C">
        <w:rPr>
          <w:i/>
          <w:lang w:val="en-GB"/>
        </w:rPr>
        <w:t>be incurred</w:t>
      </w:r>
      <w:r w:rsidRPr="00FE1B3C">
        <w:rPr>
          <w:i/>
          <w:lang w:val="en-GB"/>
        </w:rPr>
        <w:t xml:space="preserve">. It is not enough to only submit the eligible costs. For the purpose of calculating </w:t>
      </w:r>
      <w:r w:rsidR="001D6A22" w:rsidRPr="00FE1B3C">
        <w:rPr>
          <w:i/>
          <w:lang w:val="en-GB"/>
        </w:rPr>
        <w:t>the funding</w:t>
      </w:r>
      <w:r w:rsidRPr="00FE1B3C">
        <w:rPr>
          <w:i/>
          <w:lang w:val="en-GB"/>
        </w:rPr>
        <w:t xml:space="preserve"> gap, what matters are all the costs (eligible or not) associated with the </w:t>
      </w:r>
      <w:r w:rsidR="001D6A22" w:rsidRPr="00FE1B3C">
        <w:rPr>
          <w:i/>
          <w:lang w:val="en-GB"/>
        </w:rPr>
        <w:t>investment project</w:t>
      </w:r>
      <w:r w:rsidRPr="00FE1B3C">
        <w:rPr>
          <w:i/>
          <w:lang w:val="en-GB"/>
        </w:rPr>
        <w:t xml:space="preserve">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For the purposes of this IPCEI, it is sufficient to provide the Excel sheet calculations for </w:t>
      </w:r>
      <w:r w:rsidR="001D6A22" w:rsidRPr="00FE1B3C">
        <w:rPr>
          <w:i/>
          <w:lang w:val="en-GB"/>
        </w:rPr>
        <w:t>one scenario</w:t>
      </w:r>
      <w:r w:rsidRPr="00FE1B3C">
        <w:rPr>
          <w:i/>
          <w:lang w:val="en-GB"/>
        </w:rPr>
        <w:t xml:space="preserve">, the basic scenario (no optimistic and pessimistic scenarios and </w:t>
      </w:r>
      <w:r w:rsidR="001D6A22" w:rsidRPr="00FE1B3C">
        <w:rPr>
          <w:i/>
          <w:lang w:val="en-GB"/>
        </w:rPr>
        <w:t>respective probabilities</w:t>
      </w:r>
      <w:r w:rsidRPr="00FE1B3C">
        <w:rPr>
          <w:i/>
          <w:lang w:val="en-GB"/>
        </w:rPr>
        <w:t xml:space="preserve"> needed), provided the company is able to justify in the accompanying </w:t>
      </w:r>
      <w:r w:rsidR="001D6A22" w:rsidRPr="00FE1B3C">
        <w:rPr>
          <w:i/>
          <w:lang w:val="en-GB"/>
        </w:rPr>
        <w:t>text document</w:t>
      </w:r>
      <w:r w:rsidRPr="00FE1B3C">
        <w:rPr>
          <w:i/>
          <w:lang w:val="en-GB"/>
        </w:rPr>
        <w:t xml:space="preserve">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that must be calculated is the funding gap of the investment project (i.e. </w:t>
      </w:r>
      <w:r w:rsidR="001D6A22" w:rsidRPr="00FE1B3C">
        <w:rPr>
          <w:i/>
          <w:lang w:val="en-GB"/>
        </w:rPr>
        <w:t>all investment</w:t>
      </w:r>
      <w:r w:rsidRPr="00FE1B3C">
        <w:rPr>
          <w:i/>
          <w:lang w:val="en-GB"/>
        </w:rPr>
        <w:t xml:space="preserve"> costs and operating costs) to be made by the company for the purpose of </w:t>
      </w:r>
      <w:r w:rsidR="001D6A22" w:rsidRPr="00FE1B3C">
        <w:rPr>
          <w:i/>
          <w:lang w:val="en-GB"/>
        </w:rPr>
        <w:t>the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IPCEI</w:t>
      </w:r>
      <w:r w:rsidRPr="00FE1B3C">
        <w:rPr>
          <w:i/>
          <w:lang w:val="en-GB"/>
        </w:rPr>
        <w:t>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is the difference between discounted positive and negative cash flows </w:t>
      </w:r>
      <w:r w:rsidR="001D6A22" w:rsidRPr="00FE1B3C">
        <w:rPr>
          <w:i/>
          <w:lang w:val="en-GB"/>
        </w:rPr>
        <w:t>over the</w:t>
      </w:r>
      <w:r w:rsidRPr="00FE1B3C">
        <w:rPr>
          <w:i/>
          <w:lang w:val="en-GB"/>
        </w:rPr>
        <w:t xml:space="preserve"> entire economic lifetime of the investment project, i.e. covering the entire period </w:t>
      </w:r>
      <w:r w:rsidR="001D6A22" w:rsidRPr="00FE1B3C">
        <w:rPr>
          <w:i/>
          <w:lang w:val="en-GB"/>
        </w:rPr>
        <w:t>during which</w:t>
      </w:r>
      <w:r w:rsidRPr="00FE1B3C">
        <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       <w:i/>
          <w:lang w:val="en-GB"/>
        </w:rPr>
        <w:t>to programme</w:t>
      </w:r>
      <w:r w:rsidRPr="00FE1B3C">
        <w:rPr>
          <w:i/>
          <w:lang w:val="en-GB"/>
        </w:rPr>
        <w:t>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 xml:space="preserve">he investments are sold on the market. Hence, the funding gap must not be calculated </w:t>
      </w:r>
      <w:r w:rsidR="001D6A22" w:rsidRPr="00FE1B3C">
        <w:rPr>
          <w:i/>
          <w:lang w:val="en-GB"/>
        </w:rPr>
        <w:t>only for</w:t>
      </w:r>
      <w:r w:rsidRPr="00FE1B3C">
        <w:rPr>
          <w:i/>
          <w:lang w:val="en-GB"/>
        </w:rPr>
        <w:t xml:space="preserve"> the duration of the IPCEI project, which is up to the end of the FID phase, but must </w:t>
      </w:r>
      <w:r w:rsidR="001D6A22" w:rsidRPr="00FE1B3C">
        <w:rPr>
          <w:i/>
          <w:lang w:val="en-GB"/>
        </w:rPr>
        <w:t>also cover</w:t>
      </w:r>
      <w:r w:rsidRPr="00FE1B3C">
        <w:rPr>
          <w:i/>
          <w:lang w:val="en-GB"/>
        </w:rPr>
        <w:t xml:space="preserve">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One option is to include in the excel sheet the best estimate projections that the </w:t>
      </w:r>
      <w:r w:rsidR="001D6A22" w:rsidRPr="00FE1B3C">
        <w:rPr>
          <w:i/>
          <w:lang w:val="en-GB"/>
        </w:rPr>
        <w:t>company has</w:t>
      </w:r>
      <w:r w:rsidRPr="00FE1B3C">
        <w:rPr>
          <w:i/>
          <w:lang w:val="en-GB"/>
        </w:rPr>
        <w:t xml:space="preserve">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Alternatively, companies could provide data for the explicit forecast horizon of the </w:t>
      </w:r>
      <w:r w:rsidR="001D6A22" w:rsidRPr="00FE1B3C">
        <w:rPr>
          <w:i/>
          <w:lang w:val="en-GB"/>
        </w:rPr>
        <w:t>company and</w:t>
      </w:r>
      <w:r w:rsidRPr="00FE1B3C">
        <w:rPr>
          <w:i/>
          <w:lang w:val="en-GB"/>
        </w:rPr>
        <w:t xml:space="preserve"> give a residual/terminal value (i.e. net present value of expected cash flow beyond </w:t>
      </w:r>
      <w:r w:rsidR="001D6A22" w:rsidRPr="00FE1B3C">
        <w:rPr>
          <w:i/>
          <w:lang w:val="en-GB"/>
        </w:rPr>
        <w:t>the explicit</w:t>
      </w:r>
      <w:r w:rsidRPr="00FE1B3C">
        <w:rPr>
          <w:i/>
          <w:lang w:val="en-GB"/>
        </w:rPr>
        <w:t xml:space="preserve">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 xml:space="preserve">), discounted to </w:t>
      </w:r>
      <w:r w:rsidR="001D6A22" w:rsidRPr="00FE1B3C">
        <w:rPr>
          <w:i/>
          <w:lang w:val="en-GB"/>
        </w:rPr>
        <w:t>the current</w:t>
      </w:r>
      <w:r w:rsidRPr="00FE1B3C">
        <w:rPr>
          <w:i/>
          <w:lang w:val="en-GB"/>
        </w:rPr>
        <w:t xml:space="preserve"> value. In that case, the number of years of mass production for which data </w:t>
      </w:r>
      <w:r w:rsidR="001D6A22" w:rsidRPr="00FE1B3C">
        <w:rPr>
          <w:i/>
          <w:lang w:val="en-GB"/>
        </w:rPr>
        <w:t>are inserted</w:t>
      </w:r>
      <w:r w:rsidRPr="00FE1B3C">
        <w:rPr>
          <w:i/>
          <w:lang w:val="en-GB"/>
        </w:rPr>
        <w:t xml:space="preserve">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Practically, in the Excel sheet, after the data for the FID phase and after the data for </w:t>
      </w:r>
      <w:r w:rsidR="001D6A22" w:rsidRPr="00FE1B3C">
        <w:rPr>
          <w:i/>
          <w:lang w:val="en-GB"/>
        </w:rPr>
        <w:t>the reasonable</w:t>
      </w:r>
      <w:r w:rsidRPr="00FE1B3C">
        <w:rPr>
          <w:i/>
          <w:lang w:val="en-GB"/>
        </w:rPr>
        <w:t xml:space="preserve"> number of years of mass production, a column should be inserted and </w:t>
      </w:r>
      <w:r w:rsidR="001D6A22" w:rsidRPr="00FE1B3C">
        <w:rPr>
          <w:i/>
          <w:lang w:val="en-GB"/>
        </w:rPr>
        <w:t>contain the</w:t>
      </w:r>
      <w:r w:rsidRPr="00FE1B3C">
        <w:rPr>
          <w:i/>
          <w:lang w:val="en-GB"/>
        </w:rPr>
        <w:t xml:space="preserve">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Sales/revenues (positive cash flows): projected sales figures should be used by each </w:t>
      </w:r>
      <w:r w:rsidR="001D6A22" w:rsidRPr="00FE1B3C">
        <w:rPr>
          <w:i/>
          <w:lang w:val="en-GB"/>
        </w:rPr>
        <w:t>company rather</w:t>
      </w:r>
      <w:r w:rsidRPr="00FE1B3C">
        <w:rPr>
          <w:i/>
          <w:lang w:val="en-GB"/>
        </w:rPr>
        <w:t xml:space="preserve"> than a formula. These should be the figures actually used by the company in </w:t>
      </w:r>
      <w:r w:rsidR="001D6A22" w:rsidRPr="00FE1B3C">
        <w:rPr>
          <w:i/>
          <w:lang w:val="en-GB"/>
        </w:rPr>
        <w:t>its business</w:t>
      </w:r>
      <w:r w:rsidRPr="00FE1B3C">
        <w:rPr>
          <w:i/>
          <w:lang w:val="en-GB"/>
        </w:rPr>
        <w:t xml:space="preserve"> plan and decision making process. This can be best estimate figures. This </w:t>
      </w:r>
      <w:r w:rsidR="001D6A22" w:rsidRPr="00FE1B3C">
        <w:rPr>
          <w:i/>
          <w:lang w:val="en-GB"/>
        </w:rPr>
        <w:t>data should</w:t>
      </w:r>
      <w:r w:rsidRPr="00FE1B3C">
        <w:rPr>
          <w:i/>
          <w:lang w:val="en-GB"/>
        </w:rPr>
        <w:t xml:space="preserve"> overwrite the formula embedded in the Excel sheet which calculates sales/</w:t>
      </w:r>
      <w:r w:rsidR="001D6A22" w:rsidRPr="00FE1B3C">
        <w:rPr>
          <w:i/>
          <w:lang w:val="en-GB"/>
        </w:rPr>
        <w:t>revenues as</w:t>
      </w:r>
      <w:r w:rsidRPr="00FE1B3C">
        <w:rPr>
          <w:i/>
          <w:lang w:val="en-GB"/>
        </w:rPr>
        <w:t xml:space="preserve"> a function of costs, an assumption of idle share and an assumption of gross margin. Only </w:t>
      </w:r>
      <w:r w:rsidR="001D6A22" w:rsidRPr="00FE1B3C">
        <w:rPr>
          <w:i/>
          <w:lang w:val="en-GB"/>
        </w:rPr>
        <w:t>if a</w:t>
      </w:r>
      <w:r w:rsidRPr="00FE1B3C">
        <w:rPr>
          <w:i/>
          <w:lang w:val="en-GB"/>
        </w:rPr>
        <w:t xml:space="preserve"> company has no sales projections or any best estimate data, and only if it actually uses </w:t>
      </w:r>
      <w:r w:rsidR="001D6A22" w:rsidRPr="00FE1B3C">
        <w:rPr>
          <w:i/>
          <w:lang w:val="en-GB"/>
        </w:rPr>
        <w:t>the formula</w:t>
      </w:r>
      <w:r w:rsidRPr="00FE1B3C">
        <w:rPr>
          <w:i/>
          <w:lang w:val="en-GB"/>
        </w:rPr>
        <w:t xml:space="preserve"> embedded in the sheet (function of costs, idle share and gross margin) in its </w:t>
      </w:r>
      <w:r w:rsidR="001D6A22" w:rsidRPr="00FE1B3C">
        <w:rPr>
          <w:i/>
          <w:lang w:val="en-GB"/>
        </w:rPr>
        <w:t>business plan</w:t>
      </w:r>
      <w:r w:rsidRPr="00FE1B3C">
        <w:rPr>
          <w:i/>
          <w:lang w:val="en-GB"/>
        </w:rPr>
        <w:t xml:space="preserve">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</w:t>
      </w:r>
      <w:r w:rsidR="001D6A22" w:rsidRPr="00FE1B3C">
        <w:rPr>
          <w:i/>
          <w:lang w:val="en-GB"/>
        </w:rPr>
        <w:t>) of</w:t>
      </w:r>
      <w:r w:rsidRPr="00FE1B3C">
        <w:rPr>
          <w:i/>
          <w:lang w:val="en-GB"/>
        </w:rPr>
        <w:t xml:space="preserve"> the company. The firm should provide evidence that the discount factor applied is </w:t>
      </w:r>
      <w:r w:rsidR="001D6A22" w:rsidRPr="00FE1B3C">
        <w:rPr>
          <w:i/>
          <w:lang w:val="en-GB"/>
        </w:rPr>
        <w:t>the actual</w:t>
      </w:r>
      <w:r w:rsidRPr="00FE1B3C">
        <w:rPr>
          <w:i/>
          <w:lang w:val="en-GB"/>
        </w:rPr>
        <w:t xml:space="preserve"> WACC used by the company (e.g. by internal documents showing the applied </w:t>
      </w:r>
      <w:r w:rsidR="001D6A22" w:rsidRPr="00FE1B3C">
        <w:rPr>
          <w:i/>
          <w:lang w:val="en-GB"/>
        </w:rPr>
        <w:t>WACC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for</w:t>
      </w:r>
      <w:r w:rsidRPr="00FE1B3C">
        <w:rPr>
          <w:i/>
          <w:lang w:val="en-GB"/>
        </w:rPr>
        <w:t xml:space="preserve"> investment analysis). The reason to deviate from the WACC usually applied by </w:t>
      </w:r>
      <w:r w:rsidR="001D6A22" w:rsidRPr="00FE1B3C">
        <w:rPr>
          <w:i/>
          <w:lang w:val="en-GB"/>
        </w:rPr>
        <w:t>the company</w:t>
      </w:r>
      <w:r w:rsidRPr="00FE1B3C">
        <w:rPr>
          <w:i/>
          <w:lang w:val="en-GB"/>
        </w:rPr>
        <w:t xml:space="preserve">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The end result of this step should be one figure: the amount of the funding gap, labelled </w:t>
      </w:r>
      <w:r w:rsidR="001D6A22" w:rsidRPr="00FE1B3C">
        <w:rPr>
          <w:i/>
          <w:lang w:val="en-GB"/>
        </w:rPr>
        <w:t>as such</w:t>
      </w:r>
      <w:r w:rsidRPr="00FE1B3C">
        <w:rPr>
          <w:i/>
          <w:lang w:val="en-GB"/>
        </w:rPr>
        <w:t xml:space="preserve">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lastRenderedPageBreak/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</w:t>
      </w:r>
      <w:r w:rsidR="001D6A22" w:rsidRPr="00504B99">
        <w:rPr>
          <w:i/>
          <w:lang w:val="en-GB"/>
        </w:rPr>
        <w:t>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lastRenderedPageBreak/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06" w:rsidRDefault="00122D06" w:rsidP="00D50C60">
      <w:r>
        <w:separator/>
      </w:r>
    </w:p>
  </w:endnote>
  <w:endnote w:type="continuationSeparator" w:id="0">
    <w:p w:rsidR="00122D06" w:rsidRDefault="00122D06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7646"/>
      <w:docPartObj>
        <w:docPartGallery w:val="Page Numbers (Bottom of Page)"/>
        <w:docPartUnique/>
      </w:docPartObj>
    </w:sdtPr>
    <w:sdtEndPr/>
    <w:sdtContent>
      <w:p w:rsidR="00BD1368" w:rsidRDefault="00017319">
        <w:pPr>
          <w:pStyle w:val="Footer"/>
          <w:jc w:val="center"/>
        </w:pPr>
        <w:r>
          <w:fldChar w:fldCharType="begin"/>
        </w:r>
        <w:r w:rsidR="00BD1368">
          <w:instrText>PAGE   \* MERGEFORMAT</w:instrText>
        </w:r>
        <w:r>
          <w:fldChar w:fldCharType="separate"/>
        </w:r>
        <w:r w:rsidR="00534C0B">
          <w:rPr>
            <w:noProof/>
          </w:rPr>
          <w:t>1</w:t>
        </w:r>
        <w:r>
          <w:fldChar w:fldCharType="end"/>
        </w:r>
      </w:p>
    </w:sdtContent>
  </w:sdt>
  <w:p w:rsidR="00BD1368" w:rsidRDefault="00BD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06" w:rsidRDefault="00122D06" w:rsidP="00D50C60">
      <w:r>
        <w:separator/>
      </w:r>
    </w:p>
  </w:footnote>
  <w:footnote w:type="continuationSeparator" w:id="0">
    <w:p w:rsidR="00122D06" w:rsidRDefault="00122D06" w:rsidP="00D50C60">
      <w:r>
        <w:continuationSeparator/>
      </w:r>
    </w:p>
  </w:footnote>
  <w:footnote w:id="1">
    <w:p w:rsidR="00FF51C7" w:rsidRPr="00FF51C7" w:rsidRDefault="00FF51C7" w:rsidP="00FF51C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1D6A22">
      <w:rPr>
        <w:lang w:val="en-US"/>
      </w:rPr>
      <w:t>…</w:t>
    </w:r>
    <w:r w:rsidR="001D6A22">
      <w:ptab w:relativeTo="margin" w:alignment="center" w:leader="none"/>
    </w:r>
    <w:r>
      <w:tab/>
    </w:r>
    <w:r>
      <w:tab/>
    </w:r>
    <w:r>
      <w:tab/>
    </w:r>
    <w:r>
      <w:tab/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D"/>
    <w:rsid w:val="00012260"/>
    <w:rsid w:val="00017319"/>
    <w:rsid w:val="00033BBF"/>
    <w:rsid w:val="0004432D"/>
    <w:rsid w:val="000531B4"/>
    <w:rsid w:val="00054780"/>
    <w:rsid w:val="00057DF1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2D06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D6A22"/>
    <w:rsid w:val="001F3783"/>
    <w:rsid w:val="00201DB0"/>
    <w:rsid w:val="0021183C"/>
    <w:rsid w:val="0021231E"/>
    <w:rsid w:val="00277985"/>
    <w:rsid w:val="002933AC"/>
    <w:rsid w:val="002C1BC2"/>
    <w:rsid w:val="002C3BF4"/>
    <w:rsid w:val="002C6731"/>
    <w:rsid w:val="002E2ECE"/>
    <w:rsid w:val="002E5B06"/>
    <w:rsid w:val="002E6218"/>
    <w:rsid w:val="00301C83"/>
    <w:rsid w:val="00323743"/>
    <w:rsid w:val="00332090"/>
    <w:rsid w:val="003703B6"/>
    <w:rsid w:val="00382BBC"/>
    <w:rsid w:val="003A66B1"/>
    <w:rsid w:val="003B0144"/>
    <w:rsid w:val="003B715A"/>
    <w:rsid w:val="003E46BF"/>
    <w:rsid w:val="003E68A7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7277"/>
    <w:rsid w:val="004B76C0"/>
    <w:rsid w:val="004C1F9A"/>
    <w:rsid w:val="004F3963"/>
    <w:rsid w:val="00504B99"/>
    <w:rsid w:val="005245D6"/>
    <w:rsid w:val="00530BD5"/>
    <w:rsid w:val="00534C0B"/>
    <w:rsid w:val="005443AA"/>
    <w:rsid w:val="0055531E"/>
    <w:rsid w:val="0057270C"/>
    <w:rsid w:val="0058699A"/>
    <w:rsid w:val="00587F8B"/>
    <w:rsid w:val="00592595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6F6F7B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1602B"/>
    <w:rsid w:val="00D3383F"/>
    <w:rsid w:val="00D50C60"/>
    <w:rsid w:val="00D769DE"/>
    <w:rsid w:val="00D820E2"/>
    <w:rsid w:val="00DB218E"/>
    <w:rsid w:val="00DC138F"/>
    <w:rsid w:val="00DD5ED5"/>
    <w:rsid w:val="00DE242C"/>
    <w:rsid w:val="00E04588"/>
    <w:rsid w:val="00E04F3D"/>
    <w:rsid w:val="00E22E96"/>
    <w:rsid w:val="00E27562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F201C"/>
    <w:rsid w:val="00F15D70"/>
    <w:rsid w:val="00F17CCE"/>
    <w:rsid w:val="00F2403D"/>
    <w:rsid w:val="00F261FA"/>
    <w:rsid w:val="00F37363"/>
    <w:rsid w:val="00F407AE"/>
    <w:rsid w:val="00F548CE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F74B9-2DF9-4601-86F6-0E587CBB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IT Abbildungsverzeichnis"/>
    <w:basedOn w:val="Normal"/>
    <w:next w:val="Normal"/>
    <w:link w:val="TableofFiguresChar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TableofFiguresChar">
    <w:name w:val="Table of Figures Char"/>
    <w:aliases w:val="IT Abbildungsverzeichnis Char"/>
    <w:basedOn w:val="DefaultParagraphFont"/>
    <w:link w:val="TableofFigures"/>
    <w:rsid w:val="001623F4"/>
    <w:rPr>
      <w:rFonts w:ascii="Arial" w:hAnsi="Arial" w:cs="Times New Roman"/>
      <w:sz w:val="20"/>
      <w:szCs w:val="20"/>
      <w:lang w:eastAsia="de-DE"/>
    </w:rPr>
  </w:style>
  <w:style w:type="paragraph" w:styleId="ListBullet2">
    <w:name w:val="List Bullet 2"/>
    <w:aliases w:val="IT Minus Ebene 2"/>
    <w:basedOn w:val="Normal"/>
    <w:rsid w:val="00A00995"/>
    <w:pPr>
      <w:tabs>
        <w:tab w:val="num" w:pos="964"/>
      </w:tabs>
      <w:ind w:left="964" w:hanging="284"/>
    </w:pPr>
  </w:style>
  <w:style w:type="paragraph" w:styleId="ListBullet3">
    <w:name w:val="List Bullet 3"/>
    <w:aliases w:val="IT Plus Ebene 2"/>
    <w:basedOn w:val="Normal"/>
    <w:next w:val="ListBullet2"/>
    <w:rsid w:val="00A00995"/>
    <w:pPr>
      <w:tabs>
        <w:tab w:val="num" w:pos="964"/>
      </w:tabs>
      <w:ind w:left="964" w:hanging="284"/>
    </w:pPr>
  </w:style>
  <w:style w:type="paragraph" w:styleId="ListBullet4">
    <w:name w:val="List Bullet 4"/>
    <w:aliases w:val="IT Doppelpfeil Ebene 3"/>
    <w:basedOn w:val="Normal"/>
    <w:rsid w:val="00A00995"/>
    <w:pPr>
      <w:tabs>
        <w:tab w:val="num" w:pos="1247"/>
      </w:tabs>
      <w:ind w:left="1247" w:hanging="283"/>
    </w:pPr>
  </w:style>
  <w:style w:type="paragraph" w:styleId="ListBullet5">
    <w:name w:val="List Bullet 5"/>
    <w:aliases w:val="IT Pfeil Ebene 3"/>
    <w:basedOn w:val="Normal"/>
    <w:rsid w:val="00A00995"/>
    <w:pPr>
      <w:tabs>
        <w:tab w:val="num" w:pos="1247"/>
      </w:tabs>
      <w:ind w:left="1247" w:hanging="283"/>
    </w:pPr>
  </w:style>
  <w:style w:type="paragraph" w:styleId="Caption">
    <w:name w:val="caption"/>
    <w:aliases w:val="IT Beschriftung"/>
    <w:basedOn w:val="Normal"/>
    <w:next w:val="Normal"/>
    <w:link w:val="CaptionChar"/>
    <w:rsid w:val="00AD6721"/>
    <w:pPr>
      <w:spacing w:before="160" w:after="240"/>
    </w:pPr>
    <w:rPr>
      <w:bCs/>
      <w:i/>
    </w:rPr>
  </w:style>
  <w:style w:type="character" w:customStyle="1" w:styleId="CaptionChar">
    <w:name w:val="Caption Char"/>
    <w:aliases w:val="IT Beschriftung Char"/>
    <w:basedOn w:val="DefaultParagraphFont"/>
    <w:link w:val="Caption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Caption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CaptionChar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TOC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TOC1"/>
    <w:rsid w:val="00A00995"/>
    <w:rPr>
      <w:rFonts w:cs="Arial"/>
    </w:rPr>
  </w:style>
  <w:style w:type="paragraph" w:styleId="TOC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TOC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TOC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TOC3"/>
    <w:rsid w:val="00A00995"/>
    <w:pPr>
      <w:tabs>
        <w:tab w:val="clear" w:pos="1701"/>
      </w:tabs>
      <w:ind w:left="1588" w:hanging="1021"/>
    </w:pPr>
  </w:style>
  <w:style w:type="paragraph" w:styleId="FootnoteText">
    <w:name w:val="footnote text"/>
    <w:aliases w:val="IT Fußnotentext"/>
    <w:basedOn w:val="Normal"/>
    <w:link w:val="FootnoteTextChar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ootnoteTextChar">
    <w:name w:val="Footnote Text Char"/>
    <w:aliases w:val="IT Fußnotentext Char"/>
    <w:basedOn w:val="DefaultParagraphFont"/>
    <w:link w:val="FootnoteText"/>
    <w:rsid w:val="00A00995"/>
    <w:rPr>
      <w:rFonts w:ascii="Arial" w:hAnsi="Arial" w:cs="Times New Roman"/>
      <w:sz w:val="16"/>
      <w:szCs w:val="20"/>
      <w:lang w:eastAsia="de-DE"/>
    </w:rPr>
  </w:style>
  <w:style w:type="character" w:styleId="FootnoteReference">
    <w:name w:val="footnote reference"/>
    <w:aliases w:val="IT Fußnotenzeichen"/>
    <w:basedOn w:val="DefaultParagraphFon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DefaultParagraphFont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DefaultParagraphFon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DefaultParagraphFont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DefaultParagraphFon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DefaultParagraphFon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DefaultParagraphFon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DefaultParagraphFon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DefaultParagraphFon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DefaultParagraphFont"/>
    <w:rsid w:val="00A00995"/>
    <w:rPr>
      <w:shd w:val="clear" w:color="auto" w:fill="auto"/>
    </w:rPr>
  </w:style>
  <w:style w:type="paragraph" w:customStyle="1" w:styleId="ITNummerierung">
    <w:name w:val="IT Nummerierung"/>
    <w:basedOn w:val="Normal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DefaultParagraphFon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DefaultParagraphFon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"/>
    <w:rsid w:val="00A00995"/>
    <w:rPr>
      <w:sz w:val="12"/>
    </w:rPr>
  </w:style>
  <w:style w:type="character" w:customStyle="1" w:styleId="ITZitat">
    <w:name w:val="IT Zitat"/>
    <w:basedOn w:val="DefaultParagraphFont"/>
    <w:rsid w:val="00A00995"/>
    <w:rPr>
      <w:rFonts w:ascii="Arial" w:hAnsi="Arial"/>
      <w:i/>
      <w:spacing w:val="0"/>
    </w:rPr>
  </w:style>
  <w:style w:type="paragraph" w:styleId="CommentText">
    <w:name w:val="annotation text"/>
    <w:aliases w:val="IT Kommentartext"/>
    <w:basedOn w:val="Normal"/>
    <w:link w:val="CommentTextChar"/>
    <w:semiHidden/>
    <w:rsid w:val="00A00995"/>
  </w:style>
  <w:style w:type="character" w:customStyle="1" w:styleId="CommentTextChar">
    <w:name w:val="Comment Text Char"/>
    <w:aliases w:val="IT Kommentartext Char"/>
    <w:basedOn w:val="DefaultParagraphFont"/>
    <w:link w:val="Comment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CommentSubject">
    <w:name w:val="annotation subject"/>
    <w:aliases w:val="IT Kommentarthema"/>
    <w:basedOn w:val="CommentText"/>
    <w:next w:val="CommentText"/>
    <w:link w:val="CommentSubjectChar"/>
    <w:semiHidden/>
    <w:rsid w:val="00A00995"/>
    <w:rPr>
      <w:b/>
      <w:bCs/>
    </w:rPr>
  </w:style>
  <w:style w:type="character" w:customStyle="1" w:styleId="CommentSubjectChar">
    <w:name w:val="Comment Subject Char"/>
    <w:aliases w:val="IT Kommentarthema Char"/>
    <w:basedOn w:val="CommentTextChar"/>
    <w:link w:val="CommentSubject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CommentReference">
    <w:name w:val="annotation reference"/>
    <w:aliases w:val="IT Kommentarzeichen"/>
    <w:basedOn w:val="DefaultParagraphFont"/>
    <w:semiHidden/>
    <w:rsid w:val="00A00995"/>
    <w:rPr>
      <w:sz w:val="16"/>
      <w:szCs w:val="16"/>
    </w:rPr>
  </w:style>
  <w:style w:type="paragraph" w:styleId="Header">
    <w:name w:val="header"/>
    <w:aliases w:val="IT Kopfzeile"/>
    <w:link w:val="HeaderChar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HeaderChar">
    <w:name w:val="Header Char"/>
    <w:aliases w:val="IT Kopfzeile Char"/>
    <w:basedOn w:val="DefaultParagraphFont"/>
    <w:link w:val="Header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TOC4">
    <w:name w:val="toc 4"/>
    <w:aliases w:val="IT Verzeichnis Anhänge"/>
    <w:basedOn w:val="TOC1"/>
    <w:next w:val="Normal"/>
    <w:rsid w:val="00A00995"/>
  </w:style>
  <w:style w:type="paragraph" w:styleId="BalloonText">
    <w:name w:val="Balloon Text"/>
    <w:basedOn w:val="Normal"/>
    <w:link w:val="BalloonTextChar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rsid w:val="0059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29FC-0142-4FB8-9094-C62ACA1D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2879</Words>
  <Characters>16414</Characters>
  <Application>Microsoft Office Word</Application>
  <DocSecurity>0</DocSecurity>
  <Lines>136</Lines>
  <Paragraphs>38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VDIVDE-IT</Company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Kivistö Markku</cp:lastModifiedBy>
  <cp:revision>2</cp:revision>
  <cp:lastPrinted>2017-10-25T12:48:00Z</cp:lastPrinted>
  <dcterms:created xsi:type="dcterms:W3CDTF">2020-09-04T16:31:00Z</dcterms:created>
  <dcterms:modified xsi:type="dcterms:W3CDTF">2020-09-04T16:31:00Z</dcterms:modified>
</cp:coreProperties>
</file>