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87B9" w14:textId="403A9E19" w:rsidR="00257918" w:rsidRDefault="002104B1">
      <w:r>
        <w:rPr>
          <w:noProof/>
        </w:rPr>
        <mc:AlternateContent>
          <mc:Choice Requires="wps">
            <w:drawing>
              <wp:anchor distT="0" distB="0" distL="114300" distR="114300" simplePos="0" relativeHeight="251658240" behindDoc="0" locked="0" layoutInCell="1" allowOverlap="1" wp14:anchorId="68B8DA16" wp14:editId="7CDF8FDE">
                <wp:simplePos x="0" y="0"/>
                <wp:positionH relativeFrom="column">
                  <wp:posOffset>-76200</wp:posOffset>
                </wp:positionH>
                <wp:positionV relativeFrom="paragraph">
                  <wp:posOffset>80645</wp:posOffset>
                </wp:positionV>
                <wp:extent cx="6164580" cy="1120140"/>
                <wp:effectExtent l="0" t="0" r="26670" b="22860"/>
                <wp:wrapNone/>
                <wp:docPr id="1" name="Tekstiruutu 1"/>
                <wp:cNvGraphicFramePr/>
                <a:graphic xmlns:a="http://schemas.openxmlformats.org/drawingml/2006/main">
                  <a:graphicData uri="http://schemas.microsoft.com/office/word/2010/wordprocessingShape">
                    <wps:wsp>
                      <wps:cNvSpPr txBox="1"/>
                      <wps:spPr>
                        <a:xfrm>
                          <a:off x="0" y="0"/>
                          <a:ext cx="6164580" cy="1120140"/>
                        </a:xfrm>
                        <a:prstGeom prst="rect">
                          <a:avLst/>
                        </a:prstGeom>
                        <a:solidFill>
                          <a:schemeClr val="bg1">
                            <a:lumMod val="95000"/>
                          </a:schemeClr>
                        </a:solidFill>
                        <a:ln w="6350">
                          <a:solidFill>
                            <a:prstClr val="black"/>
                          </a:solidFill>
                        </a:ln>
                      </wps:spPr>
                      <wps:txbx>
                        <w:txbxContent>
                          <w:p w14:paraId="242C763A" w14:textId="47F08864" w:rsidR="001B1120" w:rsidRPr="001B1120" w:rsidRDefault="00942C1C" w:rsidP="001B1120">
                            <w:pPr>
                              <w:rPr>
                                <w:sz w:val="20"/>
                                <w:szCs w:val="20"/>
                              </w:rPr>
                            </w:pPr>
                            <w:r>
                              <w:rPr>
                                <w:sz w:val="20"/>
                                <w:szCs w:val="20"/>
                              </w:rPr>
                              <w:t>Projects funded with RRF funding are subject to various reporting obligations on common indicators as set out in the Commission Delegated Regulation (EU) 2021/2106 on supplementing Regulation (EU) 2021/241 of the European Parliament and of the Council establishing the Recovery and Resilience Facility by setting out the common indicators and the detailed elements of the recovery and resilience scoreboard. In accordance with Article 29 of Regulation (EU) 2021/241, the implementation of the facility is monitored and evaluated by means of common indicators.</w:t>
                            </w:r>
                          </w:p>
                          <w:p w14:paraId="1A779E7B" w14:textId="58C04E4F" w:rsidR="0009113C" w:rsidRPr="000C19EE" w:rsidRDefault="001B1120" w:rsidP="001B1120">
                            <w:pPr>
                              <w:rPr>
                                <w:sz w:val="20"/>
                                <w:szCs w:val="20"/>
                              </w:rPr>
                            </w:pPr>
                            <w:r>
                              <w:rPr>
                                <w:sz w:val="20"/>
                                <w:szCs w:val="20"/>
                              </w:rPr>
                              <w:t>by means of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6.35pt;width:485.4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VYSAIAAKEEAAAOAAAAZHJzL2Uyb0RvYy54bWysVEuP2jAQvlfqf7B8L0ko0N2IsKKsqCrR&#10;3ZXYas/GsSGq43FtQ0J/fcdOeOy2p6oXM698M/PNDNO7tlbkIKyrQBc0G6SUCM2hrPS2oN+flx9u&#10;KHGe6ZIp0KKgR+Ho3ez9u2ljcjGEHahSWIIg2uWNKejOe5MnieM7UTM3ACM0OiXYmnlU7TYpLWsQ&#10;vVbJME0nSQO2NBa4cA6t952TziK+lIL7Rymd8EQVFGvz8bXx3YQ3mU1ZvrXM7Crel8H+oYqaVRqT&#10;nqHumWdkb6s/oOqKW3Ag/YBDnYCUFRexB+wmS990s94xI2IvSI4zZ5rc/4PlD4e1ebLEt5+hxQEG&#10;QhrjcofG0E8rbR1+sVKCfqTweKZNtJ5wNE6yyWh8gy6OvizDRkaR2OTyubHOfxFQkyAU1OJcIl3s&#10;sHIeU2LoKSRkc6CqclkpFZWwC2KhLDkwnOJmm8VP1b7+BmVnux2n6SllXJ0QHlFfISlNGiz34ziN&#10;CK98If0lh2L8R6AC67qKQk1pNF4ICpJvN23P2gbKI5JpodszZ/iyQtwVc/6JWVwsJAmPxT/iIxVg&#10;MdBLlOzA/vqbPcTjvNFLSYOLWlD3c8+soER91bgJt9kI6SY+KqPxpyEq9tqzufbofb0AZDHDszQ8&#10;iiHeq5MoLdQveFPzkBVdTHPMXVB/Ehe+Ox+8SS7m8xiEu2yYX+m14QE6TC3w+dy+MGv6mXtclwc4&#10;rTTL34y+iw1fapjvPcgq7kUguGO15x3vII6lv9lwaNd6jLr8s8x+AwAA//8DAFBLAwQUAAYACAAA&#10;ACEAtO8rwOAAAAAKAQAADwAAAGRycy9kb3ducmV2LnhtbEyPwU7DMBBE70j8g7VI3FonAUqaxqkA&#10;qRcoB9IcenTjJQnE6yh22/TvWU5w3JnR7Lx8PdlenHD0nSMF8TwCgVQ701GjoNptZikIHzQZ3TtC&#10;BRf0sC6ur3KdGXemDzyVoRFcQj7TCtoQhkxKX7dotZ+7AYm9TzdaHfgcG2lGfeZy28skihbS6o74&#10;Q6sHfGmx/i6PVsF9+fy6qS9vC1O9p3ep3e6rr2mv1O3N9LQCEXAKf2H4nc/ToeBNB3ck40WvYBYn&#10;zBLYSB5BcGD5kDLLgYV0GYMscvkfofgBAAD//wMAUEsBAi0AFAAGAAgAAAAhALaDOJL+AAAA4QEA&#10;ABMAAAAAAAAAAAAAAAAAAAAAAFtDb250ZW50X1R5cGVzXS54bWxQSwECLQAUAAYACAAAACEAOP0h&#10;/9YAAACUAQAACwAAAAAAAAAAAAAAAAAvAQAAX3JlbHMvLnJlbHNQSwECLQAUAAYACAAAACEA2DHF&#10;WEgCAAChBAAADgAAAAAAAAAAAAAAAAAuAgAAZHJzL2Uyb0RvYy54bWxQSwECLQAUAAYACAAAACEA&#10;tO8rwOAAAAAKAQAADwAAAAAAAAAAAAAAAACiBAAAZHJzL2Rvd25yZXYueG1sUEsFBgAAAAAEAAQA&#10;8wAAAK8FAAAAAA==&#10;" fillcolor="#f2f2f2 [3052]" strokeweight=".5pt">
                <v:textbox>
                  <w:txbxContent>
                    <w:p w14:paraId="242C763A" w14:textId="47F08864" w:rsidR="001B1120" w:rsidRPr="001B1120" w:rsidRDefault="00942C1C" w:rsidP="001B1120">
                      <w:pPr>
                        <w:rPr>
                          <w:sz w:val="20"/>
                          <w:szCs w:val="20"/>
                        </w:rPr>
                      </w:pPr>
                      <w:r>
                        <w:rPr>
                          <w:sz w:val="20"/>
                          <w:szCs w:val="20"/>
                        </w:rPr>
                        <w:t>Projects funded with RRF funding are subject to various reporting obligations on common indicators as set out in the Commission Delegated Regulation (EU) 2021/2106 on supplementing Regulation (EU) 2021/241 of the European Parliament and of the Council establishing the Recovery and Resilience Facility by setting out the common indicators and the detailed elements of the recovery and resilience scoreboard. In accordance with Article 29 of Regulation (EU) 2021/241, the implementation of the facility is monitored and evaluated by means of common indicators.</w:t>
                      </w:r>
                    </w:p>
                    <w:p w14:paraId="1A779E7B" w14:textId="58C04E4F" w:rsidR="0009113C" w:rsidRPr="000C19EE" w:rsidRDefault="001B1120" w:rsidP="001B1120">
                      <w:pPr>
                        <w:rPr>
                          <w:sz w:val="20"/>
                          <w:szCs w:val="20"/>
                        </w:rPr>
                      </w:pPr>
                      <w:r>
                        <w:rPr>
                          <w:sz w:val="20"/>
                          <w:szCs w:val="20"/>
                        </w:rPr>
                        <w:t>by means of indicators.</w:t>
                      </w:r>
                    </w:p>
                  </w:txbxContent>
                </v:textbox>
              </v:shape>
            </w:pict>
          </mc:Fallback>
        </mc:AlternateContent>
      </w:r>
    </w:p>
    <w:p w14:paraId="7A5FA2EA" w14:textId="69280AFE" w:rsidR="000A1854" w:rsidRDefault="000A1854"/>
    <w:p w14:paraId="41F9DBA0" w14:textId="77777777" w:rsidR="0009113C" w:rsidRDefault="0009113C" w:rsidP="00911A7F">
      <w:pPr>
        <w:jc w:val="both"/>
        <w:rPr>
          <w:rFonts w:ascii="Finlandica" w:hAnsi="Finlandica"/>
          <w:sz w:val="24"/>
          <w:szCs w:val="24"/>
        </w:rPr>
      </w:pPr>
    </w:p>
    <w:p w14:paraId="296B6344" w14:textId="77777777" w:rsidR="00D1646B" w:rsidRDefault="00D1646B" w:rsidP="00BA170E">
      <w:pPr>
        <w:rPr>
          <w:rFonts w:ascii="Finlandica" w:hAnsi="Finlandica"/>
        </w:rPr>
      </w:pPr>
    </w:p>
    <w:p w14:paraId="2045CDEE" w14:textId="77777777" w:rsidR="00F628B1" w:rsidRDefault="00F628B1" w:rsidP="00312B5D">
      <w:pPr>
        <w:spacing w:after="120" w:line="240" w:lineRule="auto"/>
      </w:pPr>
    </w:p>
    <w:p w14:paraId="2C4A2535" w14:textId="279F2B1D" w:rsidR="002104B1" w:rsidRPr="00386176" w:rsidRDefault="002104B1" w:rsidP="00312B5D">
      <w:pPr>
        <w:spacing w:after="120" w:line="240" w:lineRule="auto"/>
        <w:rPr>
          <w:rFonts w:cstheme="minorHAnsi"/>
          <w:bCs/>
        </w:rPr>
      </w:pPr>
      <w:r>
        <w:t>Use this form to report the total working hours of the researchers by gender who have used the funded research equipment/facilities under the following RRF funding calls:</w:t>
      </w:r>
    </w:p>
    <w:p w14:paraId="43F669C9" w14:textId="77777777" w:rsidR="00467CBA" w:rsidRPr="00312B5D" w:rsidRDefault="00467CBA" w:rsidP="00467CBA">
      <w:pPr>
        <w:shd w:val="clear" w:color="auto" w:fill="FFFFFF"/>
        <w:spacing w:after="0" w:line="240" w:lineRule="auto"/>
        <w:rPr>
          <w:rFonts w:cstheme="minorHAnsi"/>
          <w:b/>
        </w:rPr>
      </w:pPr>
      <w:r>
        <w:rPr>
          <w:b/>
        </w:rPr>
        <w:t>RRF – 5G/6G, AI, Quantum Development Environments</w:t>
      </w:r>
    </w:p>
    <w:p w14:paraId="7E630A56" w14:textId="5F450C8D" w:rsidR="00467CBA" w:rsidRPr="00312B5D" w:rsidRDefault="00467CBA" w:rsidP="00467CBA">
      <w:pPr>
        <w:shd w:val="clear" w:color="auto" w:fill="FFFFFF"/>
        <w:spacing w:after="0" w:line="240" w:lineRule="auto"/>
        <w:rPr>
          <w:rFonts w:cstheme="minorHAnsi"/>
          <w:b/>
        </w:rPr>
      </w:pPr>
      <w:r>
        <w:rPr>
          <w:b/>
        </w:rPr>
        <w:t>RRF – Innovation infrastructures</w:t>
      </w:r>
    </w:p>
    <w:p w14:paraId="2BF74514" w14:textId="25E545F7" w:rsidR="00467CBA" w:rsidRPr="0060342B" w:rsidRDefault="00FA50D6" w:rsidP="0060342B">
      <w:pPr>
        <w:shd w:val="clear" w:color="auto" w:fill="FFFFFF"/>
        <w:spacing w:after="0" w:line="240" w:lineRule="auto"/>
        <w:rPr>
          <w:rFonts w:cstheme="minorHAnsi"/>
          <w:b/>
        </w:rPr>
      </w:pPr>
      <w:r>
        <w:rPr>
          <w:b/>
        </w:rPr>
        <w:t>RRF – Key sectors and leading companies’ partnership projects</w:t>
      </w:r>
    </w:p>
    <w:p w14:paraId="1690E246" w14:textId="6E2D9C2E" w:rsidR="002104B1" w:rsidRPr="0060342B" w:rsidRDefault="002104B1" w:rsidP="00386176">
      <w:pPr>
        <w:spacing w:before="360" w:after="120" w:line="240" w:lineRule="auto"/>
        <w:rPr>
          <w:rFonts w:cstheme="minorHAnsi"/>
          <w:b/>
        </w:rPr>
      </w:pPr>
      <w:r>
        <w:rPr>
          <w:b/>
        </w:rPr>
        <w:t>Instructions</w:t>
      </w:r>
    </w:p>
    <w:p w14:paraId="6DB6CF73" w14:textId="5CA90CC8" w:rsidR="002F2286" w:rsidRPr="0060342B" w:rsidRDefault="0099207B"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 xml:space="preserve">For each reporting period, report the information for all the RRF projects mentioned above that have direct costs that include the costs of research equipment/installations/facilities. Use the form to report the total working hours of researchers by gender who in their field of activity directly use RRF-funded public or private research equipment/installations/facilities. The reporting also applies to external researchers using the beneficiary’s research equipment/installations/facilities if it is possible to obtain this information. </w:t>
      </w:r>
    </w:p>
    <w:p w14:paraId="2059E3E2" w14:textId="1262ED87" w:rsidR="003E7A1C" w:rsidRPr="0060342B" w:rsidRDefault="003B4273"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 xml:space="preserve">The funding subject to the reporting obligation must be used to improve the research facilities or research equipment, which means that maintaining or replacing existing equipment without improving them is not </w:t>
      </w:r>
      <w:proofErr w:type="gramStart"/>
      <w:r>
        <w:rPr>
          <w:rFonts w:asciiTheme="minorHAnsi" w:hAnsiTheme="minorHAnsi"/>
          <w:color w:val="242424"/>
          <w:sz w:val="20"/>
          <w:szCs w:val="20"/>
        </w:rPr>
        <w:t>taken into account</w:t>
      </w:r>
      <w:proofErr w:type="gramEnd"/>
      <w:r>
        <w:rPr>
          <w:rFonts w:asciiTheme="minorHAnsi" w:hAnsiTheme="minorHAnsi"/>
          <w:color w:val="242424"/>
          <w:sz w:val="20"/>
          <w:szCs w:val="20"/>
        </w:rPr>
        <w:t xml:space="preserve"> when reporting the indicator. The form is neither used to report R&amp;D vacancies nor non-R&amp;D support staff.</w:t>
      </w:r>
    </w:p>
    <w:p w14:paraId="62784C4D" w14:textId="39D781C3" w:rsidR="00DF7E11" w:rsidRPr="0060342B" w:rsidRDefault="006F32A2"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 xml:space="preserve">For each reporting period, the indicator is measured in annual full-time equivalents (FTEs) calculated in accordance with the methodology set out in the OECD’s Frascati Manual 2015 (Chapter 5.3). The annual full-time equivalent of R&amp;D personnel is defined as the ratio of the working hours </w:t>
      </w:r>
      <w:proofErr w:type="gramStart"/>
      <w:r>
        <w:rPr>
          <w:rFonts w:asciiTheme="minorHAnsi" w:hAnsiTheme="minorHAnsi"/>
          <w:color w:val="242424"/>
          <w:sz w:val="20"/>
          <w:szCs w:val="20"/>
        </w:rPr>
        <w:t>actually spent</w:t>
      </w:r>
      <w:proofErr w:type="gramEnd"/>
      <w:r>
        <w:rPr>
          <w:rFonts w:asciiTheme="minorHAnsi" w:hAnsiTheme="minorHAnsi"/>
          <w:color w:val="242424"/>
          <w:sz w:val="20"/>
          <w:szCs w:val="20"/>
        </w:rPr>
        <w:t xml:space="preserve"> on R&amp;D activities during a calendar year divided by the total number of hours normally worked by an individual or a group during the same period. One person can do up to one full-time equivalent (FTE) of R&amp;D work. The number of normal working hours is determined </w:t>
      </w:r>
      <w:proofErr w:type="gramStart"/>
      <w:r>
        <w:rPr>
          <w:rFonts w:asciiTheme="minorHAnsi" w:hAnsiTheme="minorHAnsi"/>
          <w:color w:val="242424"/>
          <w:sz w:val="20"/>
          <w:szCs w:val="20"/>
        </w:rPr>
        <w:t>on the basis of</w:t>
      </w:r>
      <w:proofErr w:type="gramEnd"/>
      <w:r>
        <w:rPr>
          <w:rFonts w:asciiTheme="minorHAnsi" w:hAnsiTheme="minorHAnsi"/>
          <w:color w:val="242424"/>
          <w:sz w:val="20"/>
          <w:szCs w:val="20"/>
        </w:rPr>
        <w:t xml:space="preserve"> normative/statutory working hours. A full-time person is identified </w:t>
      </w:r>
      <w:proofErr w:type="gramStart"/>
      <w:r>
        <w:rPr>
          <w:rFonts w:asciiTheme="minorHAnsi" w:hAnsiTheme="minorHAnsi"/>
          <w:color w:val="242424"/>
          <w:sz w:val="20"/>
          <w:szCs w:val="20"/>
        </w:rPr>
        <w:t>on the basis of</w:t>
      </w:r>
      <w:proofErr w:type="gramEnd"/>
      <w:r>
        <w:rPr>
          <w:rFonts w:asciiTheme="minorHAnsi" w:hAnsiTheme="minorHAnsi"/>
          <w:color w:val="242424"/>
          <w:sz w:val="20"/>
          <w:szCs w:val="20"/>
        </w:rPr>
        <w:t xml:space="preserve"> their business relationship, type of employment contract (full-time or part-time) and involvement in R&amp;D activities.</w:t>
      </w:r>
    </w:p>
    <w:p w14:paraId="7F38F938" w14:textId="76B4E1D6" w:rsidR="009B44B7" w:rsidRDefault="005F1559" w:rsidP="00B6343B">
      <w:pPr>
        <w:pStyle w:val="NormaaliWWW"/>
        <w:shd w:val="clear" w:color="auto" w:fill="FFFFFF"/>
        <w:spacing w:before="120" w:beforeAutospacing="0" w:after="120" w:afterAutospacing="0"/>
        <w:ind w:right="-306"/>
        <w:rPr>
          <w:rFonts w:asciiTheme="minorHAnsi" w:hAnsiTheme="minorHAnsi"/>
          <w:color w:val="242424"/>
          <w:sz w:val="20"/>
          <w:szCs w:val="20"/>
        </w:rPr>
      </w:pPr>
      <w:r>
        <w:rPr>
          <w:rFonts w:asciiTheme="minorHAnsi" w:hAnsiTheme="minorHAnsi"/>
          <w:color w:val="242424"/>
          <w:sz w:val="20"/>
          <w:szCs w:val="20"/>
        </w:rPr>
        <w:t xml:space="preserve">For example: The duration of the reporting period is 4 months and the normal number of hours worked by the person during this period is 615 hours. The person has used the RRF-funded research equipment in their research work for 123 hours, which means that their annual FTE for the reporting period is calculated as follows: </w:t>
      </w:r>
      <w:r>
        <w:rPr>
          <w:rFonts w:asciiTheme="minorHAnsi" w:hAnsiTheme="minorHAnsi"/>
          <w:color w:val="242424"/>
          <w:sz w:val="20"/>
          <w:szCs w:val="20"/>
        </w:rPr>
        <w:br/>
        <w:t>(123 h/615 </w:t>
      </w:r>
      <w:proofErr w:type="gramStart"/>
      <w:r>
        <w:rPr>
          <w:rFonts w:asciiTheme="minorHAnsi" w:hAnsiTheme="minorHAnsi"/>
          <w:color w:val="242424"/>
          <w:sz w:val="20"/>
          <w:szCs w:val="20"/>
        </w:rPr>
        <w:t>h)*</w:t>
      </w:r>
      <w:proofErr w:type="gramEnd"/>
      <w:r>
        <w:rPr>
          <w:rFonts w:asciiTheme="minorHAnsi" w:hAnsiTheme="minorHAnsi"/>
          <w:color w:val="242424"/>
          <w:sz w:val="20"/>
          <w:szCs w:val="20"/>
        </w:rPr>
        <w:t>(4 months/12 months) = 0.07 FTE. For more examples, see Section 5.73 of the Frascati Manual, p. 171.</w:t>
      </w:r>
    </w:p>
    <w:p w14:paraId="1448C74E" w14:textId="6318210F" w:rsidR="0009559F" w:rsidRPr="0009559F" w:rsidRDefault="0009559F"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sidRPr="0009559F">
        <w:rPr>
          <w:rFonts w:asciiTheme="minorHAnsi" w:hAnsiTheme="minorHAnsi" w:cstheme="minorHAnsi"/>
          <w:color w:val="242424"/>
          <w:sz w:val="20"/>
          <w:szCs w:val="20"/>
        </w:rPr>
        <w:t xml:space="preserve">Information is collected for statistical </w:t>
      </w:r>
      <w:r>
        <w:rPr>
          <w:rFonts w:asciiTheme="minorHAnsi" w:hAnsiTheme="minorHAnsi" w:cstheme="minorHAnsi"/>
          <w:color w:val="242424"/>
          <w:sz w:val="20"/>
          <w:szCs w:val="20"/>
        </w:rPr>
        <w:t>reasons</w:t>
      </w:r>
      <w:r w:rsidRPr="0009559F">
        <w:rPr>
          <w:rFonts w:asciiTheme="minorHAnsi" w:hAnsiTheme="minorHAnsi" w:cstheme="minorHAnsi"/>
          <w:color w:val="242424"/>
          <w:sz w:val="20"/>
          <w:szCs w:val="20"/>
        </w:rPr>
        <w:t xml:space="preserve">. Data collection is based on the Beijing Declaration mentioned in section 5.76 p. 176 of the OECD Frascati handbook (United Nations (1995), Beijing Declaration following the 1995 World Conference on Women, United Nations, New York.) from 1995. When collecting data, care must be taken to ensure that privacy </w:t>
      </w:r>
      <w:r>
        <w:rPr>
          <w:rFonts w:asciiTheme="minorHAnsi" w:hAnsiTheme="minorHAnsi" w:cstheme="minorHAnsi"/>
          <w:color w:val="242424"/>
          <w:sz w:val="20"/>
          <w:szCs w:val="20"/>
        </w:rPr>
        <w:t>will</w:t>
      </w:r>
      <w:r w:rsidRPr="0009559F">
        <w:rPr>
          <w:rFonts w:asciiTheme="minorHAnsi" w:hAnsiTheme="minorHAnsi" w:cstheme="minorHAnsi"/>
          <w:color w:val="242424"/>
          <w:sz w:val="20"/>
          <w:szCs w:val="20"/>
        </w:rPr>
        <w:t xml:space="preserve"> not </w:t>
      </w:r>
      <w:r>
        <w:rPr>
          <w:rFonts w:asciiTheme="minorHAnsi" w:hAnsiTheme="minorHAnsi" w:cstheme="minorHAnsi"/>
          <w:color w:val="242424"/>
          <w:sz w:val="20"/>
          <w:szCs w:val="20"/>
        </w:rPr>
        <w:t xml:space="preserve">be </w:t>
      </w:r>
      <w:r w:rsidRPr="0009559F">
        <w:rPr>
          <w:rFonts w:asciiTheme="minorHAnsi" w:hAnsiTheme="minorHAnsi" w:cstheme="minorHAnsi"/>
          <w:color w:val="242424"/>
          <w:sz w:val="20"/>
          <w:szCs w:val="20"/>
        </w:rPr>
        <w:t>offend</w:t>
      </w:r>
      <w:r>
        <w:rPr>
          <w:rFonts w:asciiTheme="minorHAnsi" w:hAnsiTheme="minorHAnsi" w:cstheme="minorHAnsi"/>
          <w:color w:val="242424"/>
          <w:sz w:val="20"/>
          <w:szCs w:val="20"/>
        </w:rPr>
        <w:t>ed,</w:t>
      </w:r>
      <w:r w:rsidRPr="0009559F">
        <w:rPr>
          <w:rFonts w:asciiTheme="minorHAnsi" w:hAnsiTheme="minorHAnsi" w:cstheme="minorHAnsi"/>
          <w:color w:val="242424"/>
          <w:sz w:val="20"/>
          <w:szCs w:val="20"/>
        </w:rPr>
        <w:t xml:space="preserve"> and the person is not identifiable based on the information provided.</w:t>
      </w:r>
    </w:p>
    <w:p w14:paraId="3914BB2C" w14:textId="575677E5" w:rsidR="0009113C" w:rsidRPr="0060342B" w:rsidRDefault="003F415F" w:rsidP="00386176">
      <w:pPr>
        <w:spacing w:before="360" w:after="120" w:line="240" w:lineRule="auto"/>
        <w:rPr>
          <w:rFonts w:cstheme="minorHAnsi"/>
          <w:b/>
        </w:rPr>
      </w:pPr>
      <w:r>
        <w:rPr>
          <w:b/>
        </w:rPr>
        <w:t xml:space="preserve">Fill in this </w:t>
      </w:r>
      <w:proofErr w:type="gramStart"/>
      <w:r>
        <w:rPr>
          <w:b/>
        </w:rPr>
        <w:t>information</w:t>
      </w:r>
      <w:proofErr w:type="gramEnd"/>
    </w:p>
    <w:p w14:paraId="2B42753E" w14:textId="30F9E77F" w:rsidR="00C90F51" w:rsidRPr="00A143D8" w:rsidRDefault="00C90F51" w:rsidP="009F2CAD">
      <w:pPr>
        <w:spacing w:before="120" w:after="240" w:line="240" w:lineRule="auto"/>
        <w:rPr>
          <w:rFonts w:ascii="Calibri" w:hAnsi="Calibri" w:cs="Calibri"/>
          <w:sz w:val="20"/>
          <w:szCs w:val="20"/>
        </w:rPr>
      </w:pPr>
      <w:r w:rsidRPr="00A143D8">
        <w:rPr>
          <w:rFonts w:ascii="Calibri" w:hAnsi="Calibri"/>
          <w:sz w:val="20"/>
          <w:szCs w:val="20"/>
        </w:rPr>
        <w:t xml:space="preserve">Reporting period: </w:t>
      </w:r>
      <w:r w:rsidR="00F628B1" w:rsidRPr="00A143D8">
        <w:rPr>
          <w:rFonts w:ascii="Calibri" w:hAnsi="Calibri"/>
          <w:sz w:val="20"/>
          <w:szCs w:val="20"/>
        </w:rPr>
        <w:tab/>
      </w:r>
      <w:r w:rsidRPr="00A143D8">
        <w:rPr>
          <w:rFonts w:ascii="Calibri" w:hAnsi="Calibri"/>
          <w:sz w:val="20"/>
          <w:szCs w:val="20"/>
        </w:rPr>
        <w:tab/>
      </w:r>
      <w:sdt>
        <w:sdtPr>
          <w:rPr>
            <w:rFonts w:ascii="Calibri" w:hAnsi="Calibri" w:cs="Calibri"/>
            <w:sz w:val="20"/>
            <w:szCs w:val="20"/>
          </w:rPr>
          <w:id w:val="195274324"/>
          <w:placeholder>
            <w:docPart w:val="DefaultPlaceholder_-1854013440"/>
          </w:placeholder>
          <w:showingPlcHdr/>
          <w:text/>
        </w:sdtPr>
        <w:sdtEndPr/>
        <w:sdtContent>
          <w:r w:rsidRPr="00A143D8">
            <w:rPr>
              <w:rStyle w:val="Paikkamerkkiteksti"/>
              <w:sz w:val="20"/>
              <w:szCs w:val="20"/>
            </w:rPr>
            <w:t>Click or tap here to enter text.</w:t>
          </w:r>
        </w:sdtContent>
      </w:sdt>
      <w:r w:rsidRPr="00A143D8">
        <w:rPr>
          <w:rFonts w:ascii="Calibri" w:hAnsi="Calibri"/>
          <w:sz w:val="20"/>
          <w:szCs w:val="20"/>
        </w:rPr>
        <w:tab/>
      </w:r>
      <w:r w:rsidRPr="00A143D8">
        <w:rPr>
          <w:rFonts w:ascii="Calibri" w:hAnsi="Calibri"/>
          <w:sz w:val="20"/>
          <w:szCs w:val="20"/>
        </w:rPr>
        <w:br/>
        <w:t xml:space="preserve">Duration of the period (months): </w:t>
      </w:r>
      <w:r w:rsidRPr="00A143D8">
        <w:rPr>
          <w:rFonts w:ascii="Calibri" w:hAnsi="Calibri"/>
          <w:sz w:val="20"/>
          <w:szCs w:val="20"/>
        </w:rPr>
        <w:tab/>
      </w:r>
      <w:sdt>
        <w:sdtPr>
          <w:rPr>
            <w:rFonts w:ascii="Calibri" w:hAnsi="Calibri" w:cs="Calibri"/>
            <w:sz w:val="20"/>
            <w:szCs w:val="20"/>
          </w:rPr>
          <w:id w:val="-1016454507"/>
          <w:placeholder>
            <w:docPart w:val="DefaultPlaceholder_-1854013440"/>
          </w:placeholder>
          <w:showingPlcHdr/>
          <w:text/>
        </w:sdtPr>
        <w:sdtEndPr/>
        <w:sdtContent>
          <w:r w:rsidRPr="00A143D8">
            <w:rPr>
              <w:rStyle w:val="Paikkamerkkiteksti"/>
              <w:sz w:val="20"/>
              <w:szCs w:val="20"/>
            </w:rPr>
            <w:t>Click or tap here to enter text.</w:t>
          </w:r>
        </w:sdtContent>
      </w:sdt>
    </w:p>
    <w:tbl>
      <w:tblPr>
        <w:tblStyle w:val="Vaaleataulukkoruudukko"/>
        <w:tblW w:w="0" w:type="auto"/>
        <w:tblLook w:val="0620" w:firstRow="1" w:lastRow="0" w:firstColumn="0" w:lastColumn="0" w:noHBand="1" w:noVBand="1"/>
      </w:tblPr>
      <w:tblGrid>
        <w:gridCol w:w="3823"/>
        <w:gridCol w:w="5386"/>
      </w:tblGrid>
      <w:tr w:rsidR="0060342B" w:rsidRPr="0009559F" w14:paraId="1238CAAC" w14:textId="77777777" w:rsidTr="00A143D8">
        <w:trPr>
          <w:trHeight w:hRule="exact" w:val="529"/>
        </w:trPr>
        <w:tc>
          <w:tcPr>
            <w:tcW w:w="3823" w:type="dxa"/>
            <w:vAlign w:val="bottom"/>
          </w:tcPr>
          <w:p w14:paraId="042DCA67" w14:textId="25BBDE75" w:rsidR="0060342B" w:rsidRPr="0009559F" w:rsidRDefault="0060342B" w:rsidP="000C19EE">
            <w:pPr>
              <w:rPr>
                <w:rFonts w:ascii="Calibri" w:hAnsi="Calibri" w:cs="Calibri"/>
                <w:b/>
                <w:bCs/>
                <w:sz w:val="20"/>
                <w:szCs w:val="20"/>
              </w:rPr>
            </w:pPr>
            <w:r w:rsidRPr="0009559F">
              <w:rPr>
                <w:rFonts w:ascii="Calibri" w:hAnsi="Calibri"/>
                <w:b/>
                <w:bCs/>
                <w:sz w:val="20"/>
                <w:szCs w:val="20"/>
              </w:rPr>
              <w:t>Gender</w:t>
            </w:r>
          </w:p>
        </w:tc>
        <w:tc>
          <w:tcPr>
            <w:tcW w:w="5386" w:type="dxa"/>
            <w:vAlign w:val="bottom"/>
          </w:tcPr>
          <w:p w14:paraId="63BAD98C" w14:textId="4A920239" w:rsidR="0060342B" w:rsidRPr="0009559F" w:rsidRDefault="0060342B" w:rsidP="000C19EE">
            <w:pPr>
              <w:rPr>
                <w:rFonts w:ascii="Calibri" w:hAnsi="Calibri" w:cs="Calibri"/>
                <w:b/>
                <w:bCs/>
                <w:sz w:val="20"/>
                <w:szCs w:val="20"/>
              </w:rPr>
            </w:pPr>
            <w:r w:rsidRPr="0009559F">
              <w:rPr>
                <w:rFonts w:ascii="Calibri" w:hAnsi="Calibri"/>
                <w:b/>
                <w:bCs/>
                <w:sz w:val="20"/>
                <w:szCs w:val="20"/>
              </w:rPr>
              <w:t>Annual working hours in full-time equivalents for the reporting period concerned (total)</w:t>
            </w:r>
          </w:p>
        </w:tc>
      </w:tr>
      <w:tr w:rsidR="0060342B" w:rsidRPr="00B6343B" w14:paraId="09300932" w14:textId="77777777" w:rsidTr="00A143D8">
        <w:trPr>
          <w:trHeight w:hRule="exact" w:val="284"/>
        </w:trPr>
        <w:tc>
          <w:tcPr>
            <w:tcW w:w="3823" w:type="dxa"/>
            <w:vAlign w:val="bottom"/>
          </w:tcPr>
          <w:p w14:paraId="2E7D0E54" w14:textId="051226CD" w:rsidR="0060342B" w:rsidRPr="00B6343B" w:rsidRDefault="0060342B" w:rsidP="0060342B">
            <w:pPr>
              <w:rPr>
                <w:rFonts w:ascii="Calibri" w:hAnsi="Calibri" w:cs="Calibri"/>
                <w:sz w:val="20"/>
                <w:szCs w:val="20"/>
              </w:rPr>
            </w:pPr>
            <w:r>
              <w:rPr>
                <w:rFonts w:ascii="Calibri" w:hAnsi="Calibri"/>
                <w:sz w:val="20"/>
                <w:szCs w:val="20"/>
              </w:rPr>
              <w:t xml:space="preserve">Female </w:t>
            </w:r>
          </w:p>
        </w:tc>
        <w:tc>
          <w:tcPr>
            <w:tcW w:w="5386" w:type="dxa"/>
            <w:vAlign w:val="bottom"/>
          </w:tcPr>
          <w:p w14:paraId="638F3D50" w14:textId="28C4385E" w:rsidR="0060342B" w:rsidRPr="00B6343B" w:rsidRDefault="0060342B" w:rsidP="0060342B">
            <w:pPr>
              <w:rPr>
                <w:rFonts w:ascii="Calibri" w:hAnsi="Calibri" w:cs="Calibri"/>
                <w:sz w:val="20"/>
                <w:szCs w:val="20"/>
              </w:rPr>
            </w:pPr>
          </w:p>
        </w:tc>
      </w:tr>
      <w:tr w:rsidR="0060342B" w:rsidRPr="00B6343B" w14:paraId="208F21DC" w14:textId="77777777" w:rsidTr="00A143D8">
        <w:trPr>
          <w:trHeight w:hRule="exact" w:val="284"/>
        </w:trPr>
        <w:tc>
          <w:tcPr>
            <w:tcW w:w="3823" w:type="dxa"/>
            <w:vAlign w:val="bottom"/>
          </w:tcPr>
          <w:p w14:paraId="2CCE33F0" w14:textId="1ECB2691" w:rsidR="0060342B" w:rsidRPr="00B6343B" w:rsidRDefault="0060342B" w:rsidP="0060342B">
            <w:pPr>
              <w:rPr>
                <w:rFonts w:ascii="Calibri" w:hAnsi="Calibri" w:cs="Calibri"/>
                <w:sz w:val="20"/>
                <w:szCs w:val="20"/>
              </w:rPr>
            </w:pPr>
            <w:r>
              <w:rPr>
                <w:rFonts w:ascii="Calibri" w:hAnsi="Calibri"/>
                <w:sz w:val="20"/>
                <w:szCs w:val="20"/>
              </w:rPr>
              <w:t>Male</w:t>
            </w:r>
          </w:p>
        </w:tc>
        <w:tc>
          <w:tcPr>
            <w:tcW w:w="5386" w:type="dxa"/>
            <w:vAlign w:val="bottom"/>
          </w:tcPr>
          <w:p w14:paraId="5D805D7B" w14:textId="085AEFF3" w:rsidR="0060342B" w:rsidRPr="00B6343B" w:rsidRDefault="0060342B" w:rsidP="0060342B">
            <w:pPr>
              <w:rPr>
                <w:rFonts w:ascii="Calibri" w:hAnsi="Calibri" w:cs="Calibri"/>
                <w:sz w:val="20"/>
                <w:szCs w:val="20"/>
              </w:rPr>
            </w:pPr>
          </w:p>
        </w:tc>
      </w:tr>
      <w:tr w:rsidR="0009559F" w:rsidRPr="00B6343B" w14:paraId="334DCDA0" w14:textId="77777777" w:rsidTr="00A143D8">
        <w:trPr>
          <w:trHeight w:hRule="exact" w:val="284"/>
        </w:trPr>
        <w:tc>
          <w:tcPr>
            <w:tcW w:w="3823" w:type="dxa"/>
            <w:vAlign w:val="bottom"/>
          </w:tcPr>
          <w:p w14:paraId="740EDE48" w14:textId="34F5F968" w:rsidR="0009559F" w:rsidRDefault="00A143D8" w:rsidP="0060342B">
            <w:pPr>
              <w:rPr>
                <w:rFonts w:ascii="Calibri" w:hAnsi="Calibri"/>
                <w:sz w:val="20"/>
                <w:szCs w:val="20"/>
              </w:rPr>
            </w:pPr>
            <w:r>
              <w:rPr>
                <w:rFonts w:ascii="Calibri" w:hAnsi="Calibri"/>
                <w:sz w:val="20"/>
                <w:szCs w:val="20"/>
              </w:rPr>
              <w:t>Non-binary / I don’t want to tell</w:t>
            </w:r>
          </w:p>
        </w:tc>
        <w:tc>
          <w:tcPr>
            <w:tcW w:w="5386" w:type="dxa"/>
            <w:vAlign w:val="bottom"/>
          </w:tcPr>
          <w:p w14:paraId="79725C59" w14:textId="77777777" w:rsidR="0009559F" w:rsidRPr="00B6343B" w:rsidRDefault="0009559F" w:rsidP="0060342B">
            <w:pPr>
              <w:rPr>
                <w:rFonts w:ascii="Calibri" w:hAnsi="Calibri" w:cs="Calibri"/>
                <w:sz w:val="20"/>
                <w:szCs w:val="20"/>
              </w:rPr>
            </w:pPr>
          </w:p>
        </w:tc>
      </w:tr>
    </w:tbl>
    <w:p w14:paraId="136C9F58" w14:textId="0CF4B1C8" w:rsidR="00EA0BA6" w:rsidRDefault="00EA0BA6" w:rsidP="00AC2794">
      <w:pPr>
        <w:spacing w:before="120" w:after="120" w:line="240" w:lineRule="auto"/>
        <w:rPr>
          <w:rFonts w:ascii="Finlandica" w:hAnsi="Finlandica"/>
          <w:sz w:val="18"/>
          <w:szCs w:val="18"/>
        </w:rPr>
      </w:pPr>
    </w:p>
    <w:sectPr w:rsidR="00EA0BA6" w:rsidSect="00AC2794">
      <w:headerReference w:type="default" r:id="rId8"/>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6928" w14:textId="77777777" w:rsidR="005E2068" w:rsidRDefault="005E2068" w:rsidP="00BA170E">
      <w:pPr>
        <w:spacing w:after="0" w:line="240" w:lineRule="auto"/>
      </w:pPr>
      <w:r>
        <w:separator/>
      </w:r>
    </w:p>
  </w:endnote>
  <w:endnote w:type="continuationSeparator" w:id="0">
    <w:p w14:paraId="44733B95" w14:textId="77777777" w:rsidR="005E2068" w:rsidRDefault="005E2068" w:rsidP="00BA170E">
      <w:pPr>
        <w:spacing w:after="0" w:line="240" w:lineRule="auto"/>
      </w:pPr>
      <w:r>
        <w:continuationSeparator/>
      </w:r>
    </w:p>
  </w:endnote>
  <w:endnote w:type="continuationNotice" w:id="1">
    <w:p w14:paraId="039EBF91" w14:textId="77777777" w:rsidR="005E2068" w:rsidRDefault="005E2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nlandica">
    <w:altName w:val="Calibri"/>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032B" w14:textId="77777777" w:rsidR="005E2068" w:rsidRDefault="005E2068" w:rsidP="00BA170E">
      <w:pPr>
        <w:spacing w:after="0" w:line="240" w:lineRule="auto"/>
      </w:pPr>
      <w:r>
        <w:separator/>
      </w:r>
    </w:p>
  </w:footnote>
  <w:footnote w:type="continuationSeparator" w:id="0">
    <w:p w14:paraId="2E050E2F" w14:textId="77777777" w:rsidR="005E2068" w:rsidRDefault="005E2068" w:rsidP="00BA170E">
      <w:pPr>
        <w:spacing w:after="0" w:line="240" w:lineRule="auto"/>
      </w:pPr>
      <w:r>
        <w:continuationSeparator/>
      </w:r>
    </w:p>
  </w:footnote>
  <w:footnote w:type="continuationNotice" w:id="1">
    <w:p w14:paraId="2FA1CD74" w14:textId="77777777" w:rsidR="005E2068" w:rsidRDefault="005E2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6A5D" w14:textId="77777777" w:rsidR="002104B1" w:rsidRDefault="00BA170E" w:rsidP="00B3146D">
    <w:pPr>
      <w:pStyle w:val="Yltunniste"/>
      <w:tabs>
        <w:tab w:val="clear" w:pos="4513"/>
        <w:tab w:val="left" w:pos="4111"/>
      </w:tabs>
      <w:rPr>
        <w:rFonts w:ascii="Finlandica" w:hAnsi="Finlandica" w:cs="Arial"/>
        <w:sz w:val="20"/>
        <w:szCs w:val="20"/>
      </w:rPr>
    </w:pPr>
    <w:r>
      <w:rPr>
        <w:noProof/>
      </w:rPr>
      <w:drawing>
        <wp:anchor distT="0" distB="0" distL="114300" distR="114300" simplePos="0" relativeHeight="251658240"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4" name="Kuva 2" descr="C:\Users\SN\Pictures\Logos\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tab/>
    </w:r>
    <w:r>
      <w:rPr>
        <w:rFonts w:ascii="Finlandica" w:hAnsi="Finlandica"/>
        <w:sz w:val="20"/>
        <w:szCs w:val="20"/>
      </w:rPr>
      <w:t xml:space="preserve">NOTIFICATION </w:t>
    </w:r>
  </w:p>
  <w:p w14:paraId="5D94E0C3" w14:textId="0902B1BB" w:rsidR="00BA170E" w:rsidRPr="00BA170E" w:rsidRDefault="004F3E04" w:rsidP="002104B1">
    <w:pPr>
      <w:pStyle w:val="Yltunniste"/>
      <w:tabs>
        <w:tab w:val="clear" w:pos="4513"/>
        <w:tab w:val="left" w:pos="4111"/>
      </w:tabs>
      <w:ind w:left="4111"/>
      <w:rPr>
        <w:rFonts w:ascii="Finlandica" w:hAnsi="Finlandica" w:cs="Arial"/>
        <w:sz w:val="20"/>
        <w:szCs w:val="20"/>
      </w:rPr>
    </w:pPr>
    <w:r>
      <w:rPr>
        <w:rFonts w:ascii="Finlandica" w:hAnsi="Finlandica"/>
        <w:sz w:val="20"/>
        <w:szCs w:val="20"/>
      </w:rPr>
      <w:t>Reporting the researchers’ annual working hours</w:t>
    </w:r>
    <w:r>
      <w:rPr>
        <w:rFonts w:ascii="Finlandica" w:hAnsi="Finlandica"/>
        <w:sz w:val="20"/>
        <w:szCs w:val="20"/>
      </w:rPr>
      <w:br/>
    </w:r>
    <w:r>
      <w:rPr>
        <w:rFonts w:ascii="Finlandica" w:hAnsi="Finlandica"/>
        <w:sz w:val="20"/>
        <w:szCs w:val="20"/>
      </w:rPr>
      <w:tab/>
    </w:r>
  </w:p>
  <w:p w14:paraId="337F742E" w14:textId="77777777" w:rsidR="00BA170E" w:rsidRDefault="00BA170E" w:rsidP="00BA170E">
    <w:pPr>
      <w:pStyle w:val="Yltunniste"/>
      <w:tabs>
        <w:tab w:val="clear" w:pos="4513"/>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num w:numId="1" w16cid:durableId="207284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31E01"/>
    <w:rsid w:val="000377BE"/>
    <w:rsid w:val="000559AD"/>
    <w:rsid w:val="0005765E"/>
    <w:rsid w:val="0006660B"/>
    <w:rsid w:val="00067871"/>
    <w:rsid w:val="0009113C"/>
    <w:rsid w:val="0009559F"/>
    <w:rsid w:val="000A1854"/>
    <w:rsid w:val="000C19EE"/>
    <w:rsid w:val="000C5BAE"/>
    <w:rsid w:val="000D69D9"/>
    <w:rsid w:val="000E3FE9"/>
    <w:rsid w:val="000F09DF"/>
    <w:rsid w:val="00107140"/>
    <w:rsid w:val="00162323"/>
    <w:rsid w:val="001627E6"/>
    <w:rsid w:val="0017261D"/>
    <w:rsid w:val="00172D71"/>
    <w:rsid w:val="00173560"/>
    <w:rsid w:val="001832D4"/>
    <w:rsid w:val="001862DC"/>
    <w:rsid w:val="00193D2D"/>
    <w:rsid w:val="00197565"/>
    <w:rsid w:val="001A06D0"/>
    <w:rsid w:val="001B1120"/>
    <w:rsid w:val="001D5F8B"/>
    <w:rsid w:val="001E1DF7"/>
    <w:rsid w:val="002104B1"/>
    <w:rsid w:val="00224B21"/>
    <w:rsid w:val="00227EAD"/>
    <w:rsid w:val="002572D7"/>
    <w:rsid w:val="00257918"/>
    <w:rsid w:val="002715F5"/>
    <w:rsid w:val="002756AE"/>
    <w:rsid w:val="002825A9"/>
    <w:rsid w:val="00283BB0"/>
    <w:rsid w:val="00290E8E"/>
    <w:rsid w:val="002C03B2"/>
    <w:rsid w:val="002C0BAC"/>
    <w:rsid w:val="002D60FB"/>
    <w:rsid w:val="002F2286"/>
    <w:rsid w:val="00302D52"/>
    <w:rsid w:val="003104D5"/>
    <w:rsid w:val="00312B5D"/>
    <w:rsid w:val="00386176"/>
    <w:rsid w:val="003A555D"/>
    <w:rsid w:val="003B1B8A"/>
    <w:rsid w:val="003B4121"/>
    <w:rsid w:val="003B4273"/>
    <w:rsid w:val="003B5A7E"/>
    <w:rsid w:val="003C19C9"/>
    <w:rsid w:val="003D3C90"/>
    <w:rsid w:val="003E7A1C"/>
    <w:rsid w:val="003F136C"/>
    <w:rsid w:val="003F2B30"/>
    <w:rsid w:val="003F415F"/>
    <w:rsid w:val="003F65B6"/>
    <w:rsid w:val="00430BB9"/>
    <w:rsid w:val="0044251A"/>
    <w:rsid w:val="00452EA1"/>
    <w:rsid w:val="004610AA"/>
    <w:rsid w:val="004634CE"/>
    <w:rsid w:val="00467CBA"/>
    <w:rsid w:val="004754F8"/>
    <w:rsid w:val="00477787"/>
    <w:rsid w:val="004802C8"/>
    <w:rsid w:val="00484BC5"/>
    <w:rsid w:val="004A4D86"/>
    <w:rsid w:val="004A67F7"/>
    <w:rsid w:val="004A7BF0"/>
    <w:rsid w:val="004B7790"/>
    <w:rsid w:val="004C2A34"/>
    <w:rsid w:val="004F3E04"/>
    <w:rsid w:val="00525EE4"/>
    <w:rsid w:val="005307B3"/>
    <w:rsid w:val="00533243"/>
    <w:rsid w:val="005376DD"/>
    <w:rsid w:val="00557CA3"/>
    <w:rsid w:val="00560D39"/>
    <w:rsid w:val="0056192D"/>
    <w:rsid w:val="005630BA"/>
    <w:rsid w:val="005851B0"/>
    <w:rsid w:val="00591943"/>
    <w:rsid w:val="005A5B7C"/>
    <w:rsid w:val="005B6116"/>
    <w:rsid w:val="005C61D5"/>
    <w:rsid w:val="005D4690"/>
    <w:rsid w:val="005E2068"/>
    <w:rsid w:val="005F0A18"/>
    <w:rsid w:val="005F1559"/>
    <w:rsid w:val="0060058D"/>
    <w:rsid w:val="0060065C"/>
    <w:rsid w:val="0060342B"/>
    <w:rsid w:val="0061503C"/>
    <w:rsid w:val="00642FC4"/>
    <w:rsid w:val="00674972"/>
    <w:rsid w:val="00682915"/>
    <w:rsid w:val="006C1DB0"/>
    <w:rsid w:val="006C2773"/>
    <w:rsid w:val="006D6C13"/>
    <w:rsid w:val="006F32A2"/>
    <w:rsid w:val="007071FC"/>
    <w:rsid w:val="00713345"/>
    <w:rsid w:val="00725F5C"/>
    <w:rsid w:val="00731EFD"/>
    <w:rsid w:val="007448E2"/>
    <w:rsid w:val="007525B4"/>
    <w:rsid w:val="007C38D6"/>
    <w:rsid w:val="007C4A2D"/>
    <w:rsid w:val="007E55EB"/>
    <w:rsid w:val="007F6A5C"/>
    <w:rsid w:val="008210B9"/>
    <w:rsid w:val="00821BE2"/>
    <w:rsid w:val="00832031"/>
    <w:rsid w:val="008516E8"/>
    <w:rsid w:val="00877D3C"/>
    <w:rsid w:val="008868A8"/>
    <w:rsid w:val="008C11B8"/>
    <w:rsid w:val="008D3235"/>
    <w:rsid w:val="008F63BC"/>
    <w:rsid w:val="00911010"/>
    <w:rsid w:val="00911A7F"/>
    <w:rsid w:val="00912CB5"/>
    <w:rsid w:val="009157BC"/>
    <w:rsid w:val="00922186"/>
    <w:rsid w:val="009239CA"/>
    <w:rsid w:val="009354F0"/>
    <w:rsid w:val="00942C1C"/>
    <w:rsid w:val="00953297"/>
    <w:rsid w:val="009772A4"/>
    <w:rsid w:val="0099207B"/>
    <w:rsid w:val="009B44B7"/>
    <w:rsid w:val="009B4F50"/>
    <w:rsid w:val="009C745C"/>
    <w:rsid w:val="009D1873"/>
    <w:rsid w:val="009F2CAD"/>
    <w:rsid w:val="009F4C2F"/>
    <w:rsid w:val="00A00CCA"/>
    <w:rsid w:val="00A143D8"/>
    <w:rsid w:val="00A202B6"/>
    <w:rsid w:val="00A2064E"/>
    <w:rsid w:val="00A21276"/>
    <w:rsid w:val="00A4443B"/>
    <w:rsid w:val="00A45610"/>
    <w:rsid w:val="00A72E76"/>
    <w:rsid w:val="00A932A3"/>
    <w:rsid w:val="00AB688D"/>
    <w:rsid w:val="00AB713C"/>
    <w:rsid w:val="00AC2794"/>
    <w:rsid w:val="00AE2465"/>
    <w:rsid w:val="00B01F2B"/>
    <w:rsid w:val="00B14DAD"/>
    <w:rsid w:val="00B3146D"/>
    <w:rsid w:val="00B40C50"/>
    <w:rsid w:val="00B537AF"/>
    <w:rsid w:val="00B53ECA"/>
    <w:rsid w:val="00B6343B"/>
    <w:rsid w:val="00B63AF1"/>
    <w:rsid w:val="00B84605"/>
    <w:rsid w:val="00BA170E"/>
    <w:rsid w:val="00BA5240"/>
    <w:rsid w:val="00BB1151"/>
    <w:rsid w:val="00BC4B6C"/>
    <w:rsid w:val="00BD4A9C"/>
    <w:rsid w:val="00BD7695"/>
    <w:rsid w:val="00BF43DB"/>
    <w:rsid w:val="00C02F95"/>
    <w:rsid w:val="00C11ABD"/>
    <w:rsid w:val="00C23A9F"/>
    <w:rsid w:val="00C270A7"/>
    <w:rsid w:val="00C27ACE"/>
    <w:rsid w:val="00C40D8B"/>
    <w:rsid w:val="00C551B2"/>
    <w:rsid w:val="00C604E0"/>
    <w:rsid w:val="00C62395"/>
    <w:rsid w:val="00C7092A"/>
    <w:rsid w:val="00C72016"/>
    <w:rsid w:val="00C84BF4"/>
    <w:rsid w:val="00C86BED"/>
    <w:rsid w:val="00C90289"/>
    <w:rsid w:val="00C90F51"/>
    <w:rsid w:val="00CA0E9A"/>
    <w:rsid w:val="00CB5EB6"/>
    <w:rsid w:val="00CB784B"/>
    <w:rsid w:val="00CD023B"/>
    <w:rsid w:val="00CD5AFA"/>
    <w:rsid w:val="00CE066E"/>
    <w:rsid w:val="00CF3936"/>
    <w:rsid w:val="00D005D0"/>
    <w:rsid w:val="00D02360"/>
    <w:rsid w:val="00D0505F"/>
    <w:rsid w:val="00D12A25"/>
    <w:rsid w:val="00D12F37"/>
    <w:rsid w:val="00D1646B"/>
    <w:rsid w:val="00D27431"/>
    <w:rsid w:val="00D42FD3"/>
    <w:rsid w:val="00D44978"/>
    <w:rsid w:val="00D50AB8"/>
    <w:rsid w:val="00D63EAD"/>
    <w:rsid w:val="00D64A2C"/>
    <w:rsid w:val="00D64A85"/>
    <w:rsid w:val="00D66BA2"/>
    <w:rsid w:val="00D75F20"/>
    <w:rsid w:val="00DC0EDF"/>
    <w:rsid w:val="00DC5DB4"/>
    <w:rsid w:val="00DE0162"/>
    <w:rsid w:val="00DE3CF7"/>
    <w:rsid w:val="00DF7E11"/>
    <w:rsid w:val="00E0025E"/>
    <w:rsid w:val="00E14CF9"/>
    <w:rsid w:val="00E33326"/>
    <w:rsid w:val="00E36614"/>
    <w:rsid w:val="00E57484"/>
    <w:rsid w:val="00E629F3"/>
    <w:rsid w:val="00E839D9"/>
    <w:rsid w:val="00E97B44"/>
    <w:rsid w:val="00EA0BA6"/>
    <w:rsid w:val="00EE04FE"/>
    <w:rsid w:val="00EF1C08"/>
    <w:rsid w:val="00EF4679"/>
    <w:rsid w:val="00F14D0F"/>
    <w:rsid w:val="00F45A38"/>
    <w:rsid w:val="00F47097"/>
    <w:rsid w:val="00F628B1"/>
    <w:rsid w:val="00F62A1A"/>
    <w:rsid w:val="00F804E1"/>
    <w:rsid w:val="00F82F54"/>
    <w:rsid w:val="00F86F76"/>
    <w:rsid w:val="00F908F2"/>
    <w:rsid w:val="00F951F4"/>
    <w:rsid w:val="00F97F1E"/>
    <w:rsid w:val="00FA50D6"/>
    <w:rsid w:val="00FB27C0"/>
    <w:rsid w:val="00FD5B68"/>
    <w:rsid w:val="00FD682D"/>
    <w:rsid w:val="00FE66B9"/>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 w:type="paragraph" w:styleId="NormaaliWWW">
    <w:name w:val="Normal (Web)"/>
    <w:basedOn w:val="Normaali"/>
    <w:uiPriority w:val="99"/>
    <w:unhideWhenUsed/>
    <w:rsid w:val="006F32A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67CBA"/>
    <w:rPr>
      <w:b/>
      <w:bCs/>
    </w:rPr>
  </w:style>
  <w:style w:type="character" w:styleId="Paikkamerkkiteksti">
    <w:name w:val="Placeholder Text"/>
    <w:basedOn w:val="Kappaleenoletusfontti"/>
    <w:uiPriority w:val="99"/>
    <w:semiHidden/>
    <w:rsid w:val="006C2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7777">
      <w:bodyDiv w:val="1"/>
      <w:marLeft w:val="0"/>
      <w:marRight w:val="0"/>
      <w:marTop w:val="0"/>
      <w:marBottom w:val="0"/>
      <w:divBdr>
        <w:top w:val="none" w:sz="0" w:space="0" w:color="auto"/>
        <w:left w:val="none" w:sz="0" w:space="0" w:color="auto"/>
        <w:bottom w:val="none" w:sz="0" w:space="0" w:color="auto"/>
        <w:right w:val="none" w:sz="0" w:space="0" w:color="auto"/>
      </w:divBdr>
    </w:div>
    <w:div w:id="764959774">
      <w:bodyDiv w:val="1"/>
      <w:marLeft w:val="0"/>
      <w:marRight w:val="0"/>
      <w:marTop w:val="0"/>
      <w:marBottom w:val="0"/>
      <w:divBdr>
        <w:top w:val="none" w:sz="0" w:space="0" w:color="auto"/>
        <w:left w:val="none" w:sz="0" w:space="0" w:color="auto"/>
        <w:bottom w:val="none" w:sz="0" w:space="0" w:color="auto"/>
        <w:right w:val="none" w:sz="0" w:space="0" w:color="auto"/>
      </w:divBdr>
    </w:div>
    <w:div w:id="819929945">
      <w:bodyDiv w:val="1"/>
      <w:marLeft w:val="0"/>
      <w:marRight w:val="0"/>
      <w:marTop w:val="0"/>
      <w:marBottom w:val="0"/>
      <w:divBdr>
        <w:top w:val="none" w:sz="0" w:space="0" w:color="auto"/>
        <w:left w:val="none" w:sz="0" w:space="0" w:color="auto"/>
        <w:bottom w:val="none" w:sz="0" w:space="0" w:color="auto"/>
        <w:right w:val="none" w:sz="0" w:space="0" w:color="auto"/>
      </w:divBdr>
    </w:div>
    <w:div w:id="1529678601">
      <w:bodyDiv w:val="1"/>
      <w:marLeft w:val="0"/>
      <w:marRight w:val="0"/>
      <w:marTop w:val="0"/>
      <w:marBottom w:val="0"/>
      <w:divBdr>
        <w:top w:val="none" w:sz="0" w:space="0" w:color="auto"/>
        <w:left w:val="none" w:sz="0" w:space="0" w:color="auto"/>
        <w:bottom w:val="none" w:sz="0" w:space="0" w:color="auto"/>
        <w:right w:val="none" w:sz="0" w:space="0" w:color="auto"/>
      </w:divBdr>
    </w:div>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 w:id="16893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0C7F05F0-B982-401A-A546-6FD5306AF18B}"/>
      </w:docPartPr>
      <w:docPartBody>
        <w:p w:rsidR="00182A47" w:rsidRDefault="00001E65">
          <w:r>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nlandica">
    <w:altName w:val="Calibri"/>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65"/>
    <w:rsid w:val="00001E65"/>
    <w:rsid w:val="00136982"/>
    <w:rsid w:val="00182A47"/>
    <w:rsid w:val="00253EF1"/>
    <w:rsid w:val="005242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01E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2836</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2023-10-25T13:55:00Z</dcterms:created>
  <dcterms:modified xsi:type="dcterms:W3CDTF">2023-10-25T13:55:00Z</dcterms:modified>
</cp:coreProperties>
</file>